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footer8.xml" ContentType="application/vnd.openxmlformats-officedocument.wordprocessingml.footer+xml"/>
  <Override PartName="/word/footer7.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media/image7.wmf" ContentType="image/x-wmf"/>
  <Override PartName="/word/media/image10.emf" ContentType="image/x-emf"/>
  <Override PartName="/word/media/image8.wmf" ContentType="image/x-wmf"/>
  <Override PartName="/word/media/image11.emf" ContentType="image/x-emf"/>
  <Override PartName="/word/media/image9.wmf" ContentType="image/x-wmf"/>
  <Override PartName="/word/media/image12.emf" ContentType="image/x-emf"/>
  <Override PartName="/word/media/image13.emf" ContentType="image/x-emf"/>
  <Override PartName="/word/media/image14.emf" ContentType="image/x-emf"/>
  <Override PartName="/word/fontTable.xml" ContentType="application/vnd.openxmlformats-officedocument.wordprocessingml.fontTable+xml"/>
  <Override PartName="/word/embeddings/oleObject1.xlsx" ContentType="application/vnd.openxmlformats-officedocument.spreadsheetml.sheet"/>
  <Override PartName="/word/styles.xml" ContentType="application/vnd.openxmlformats-officedocument.wordprocessingml.styles+xml"/>
  <Override PartName="/word/footer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Text"/>
        <w:ind w:hanging="0"/>
        <w:jc w:val="center"/>
        <w:rPr>
          <w:b/>
          <w:b/>
          <w:sz w:val="32"/>
        </w:rPr>
      </w:pPr>
      <w:r>
        <w:rPr>
          <w:b/>
          <w:sz w:val="32"/>
        </w:rPr>
        <w:br/>
        <w:br/>
        <w:br/>
        <w:t>ПРОФ. Д-Р ПЕТЪР ПЕТРОВ</w:t>
      </w:r>
    </w:p>
    <w:p>
      <w:pPr>
        <w:pStyle w:val="NormalText"/>
        <w:ind w:hanging="0"/>
        <w:jc w:val="center"/>
        <w:rPr>
          <w:b/>
          <w:b/>
          <w:sz w:val="40"/>
        </w:rPr>
      </w:pPr>
      <w:r>
        <w:rPr>
          <w:b/>
          <w:sz w:val="40"/>
        </w:rPr>
      </w:r>
    </w:p>
    <w:p>
      <w:pPr>
        <w:pStyle w:val="NormalText"/>
        <w:ind w:hanging="0"/>
        <w:jc w:val="center"/>
        <w:rPr>
          <w:b/>
          <w:b/>
          <w:sz w:val="40"/>
        </w:rPr>
      </w:pPr>
      <w:r>
        <w:rPr>
          <w:b/>
          <w:sz w:val="40"/>
        </w:rPr>
        <w:t>ОСНОВИ НА ГЕРАГОГИКАТА</w:t>
      </w:r>
    </w:p>
    <w:p>
      <w:pPr>
        <w:pStyle w:val="NormalText"/>
        <w:rPr>
          <w:b/>
          <w:b/>
          <w:sz w:val="40"/>
        </w:rPr>
      </w:pPr>
      <w:r>
        <w:rPr>
          <w:b/>
          <w:sz w:val="40"/>
        </w:rPr>
      </w:r>
    </w:p>
    <w:p>
      <w:pPr>
        <w:pStyle w:val="NormalText"/>
        <w:rPr>
          <w:color w:val="000000"/>
        </w:rPr>
      </w:pPr>
      <w:r>
        <w:rPr>
          <w:color w:val="000000"/>
        </w:rPr>
      </w:r>
    </w:p>
    <w:p>
      <w:pPr>
        <w:pStyle w:val="NormalText"/>
        <w:rPr>
          <w:color w:val="000000"/>
        </w:rPr>
      </w:pPr>
      <w:r>
        <w:rPr>
          <w:color w:val="000000"/>
        </w:rPr>
      </w:r>
    </w:p>
    <w:p>
      <w:pPr>
        <w:pStyle w:val="NormalText"/>
        <w:rPr>
          <w:color w:val="000000"/>
        </w:rPr>
      </w:pPr>
      <w:r>
        <w:rPr>
          <w:color w:val="000000"/>
        </w:rPr>
      </w:r>
    </w:p>
    <w:p>
      <w:pPr>
        <w:pStyle w:val="NormalText"/>
        <w:rPr>
          <w:color w:val="000000"/>
        </w:rPr>
      </w:pPr>
      <w:r>
        <w:rPr>
          <w:color w:val="000000"/>
        </w:rPr>
      </w:r>
    </w:p>
    <w:p>
      <w:pPr>
        <w:pStyle w:val="NormalText"/>
        <w:rPr>
          <w:color w:val="000000"/>
        </w:rPr>
      </w:pPr>
      <w:r>
        <w:rPr>
          <w:color w:val="000000"/>
        </w:rPr>
      </w:r>
    </w:p>
    <w:p>
      <w:pPr>
        <w:pStyle w:val="NormalText"/>
        <w:rPr>
          <w:color w:val="000000"/>
        </w:rPr>
      </w:pPr>
      <w:r>
        <w:rPr>
          <w:color w:val="000000"/>
        </w:rPr>
      </w:r>
    </w:p>
    <w:p>
      <w:pPr>
        <w:pStyle w:val="NormalText"/>
        <w:rPr>
          <w:color w:val="000000"/>
        </w:rPr>
      </w:pPr>
      <w:r>
        <w:rPr>
          <w:color w:val="000000"/>
        </w:rPr>
      </w:r>
    </w:p>
    <w:p>
      <w:pPr>
        <w:pStyle w:val="NormalText"/>
        <w:rPr>
          <w:color w:val="000000"/>
          <w:sz w:val="32"/>
        </w:rPr>
      </w:pPr>
      <w:r>
        <w:rPr>
          <w:color w:val="000000"/>
          <w:sz w:val="32"/>
        </w:rPr>
      </w:r>
    </w:p>
    <w:p>
      <w:pPr>
        <w:pStyle w:val="NormalText"/>
        <w:rPr>
          <w:color w:val="000000"/>
          <w:sz w:val="32"/>
        </w:rPr>
      </w:pPr>
      <w:r>
        <w:rPr>
          <w:color w:val="000000"/>
          <w:sz w:val="32"/>
        </w:rPr>
      </w:r>
    </w:p>
    <w:p>
      <w:pPr>
        <w:pStyle w:val="NormalText"/>
        <w:rPr>
          <w:color w:val="000000"/>
          <w:sz w:val="32"/>
        </w:rPr>
      </w:pPr>
      <w:r>
        <w:rPr>
          <w:color w:val="000000"/>
          <w:sz w:val="32"/>
        </w:rPr>
      </w:r>
    </w:p>
    <w:p>
      <w:pPr>
        <w:pStyle w:val="Normal"/>
        <w:jc w:val="center"/>
        <w:rPr>
          <w:color w:val="000000"/>
          <w:sz w:val="32"/>
        </w:rPr>
      </w:pPr>
      <w:r>
        <w:rPr>
          <w:color w:val="000000"/>
          <w:sz w:val="32"/>
        </w:rPr>
      </w:r>
    </w:p>
    <w:p>
      <w:pPr>
        <w:pStyle w:val="Normal"/>
        <w:jc w:val="center"/>
        <w:rPr>
          <w:color w:val="000000"/>
          <w:sz w:val="32"/>
        </w:rPr>
      </w:pPr>
      <w:r>
        <w:rPr>
          <w:color w:val="000000"/>
          <w:sz w:val="32"/>
        </w:rPr>
      </w:r>
    </w:p>
    <w:p>
      <w:pPr>
        <w:pStyle w:val="Normal"/>
        <w:jc w:val="center"/>
        <w:rPr>
          <w:color w:val="000000"/>
          <w:sz w:val="32"/>
        </w:rPr>
      </w:pPr>
      <w:r>
        <w:rPr>
          <w:color w:val="000000"/>
          <w:sz w:val="32"/>
        </w:rPr>
      </w:r>
    </w:p>
    <w:p>
      <w:pPr>
        <w:pStyle w:val="Normal"/>
        <w:jc w:val="center"/>
        <w:rPr>
          <w:color w:val="000000"/>
          <w:sz w:val="32"/>
        </w:rPr>
      </w:pPr>
      <w:r>
        <w:rPr>
          <w:color w:val="000000"/>
          <w:sz w:val="32"/>
        </w:rPr>
      </w:r>
    </w:p>
    <w:p>
      <w:pPr>
        <w:pStyle w:val="Normal"/>
        <w:jc w:val="center"/>
        <w:rPr>
          <w:color w:val="000000"/>
          <w:sz w:val="32"/>
        </w:rPr>
      </w:pPr>
      <w:r>
        <w:rPr>
          <w:color w:val="000000"/>
          <w:sz w:val="32"/>
        </w:rPr>
      </w:r>
    </w:p>
    <w:p>
      <w:pPr>
        <w:pStyle w:val="Normal"/>
        <w:jc w:val="center"/>
        <w:rPr>
          <w:color w:val="000000"/>
          <w:sz w:val="32"/>
        </w:rPr>
      </w:pPr>
      <w:r>
        <w:rPr>
          <w:color w:val="000000"/>
          <w:sz w:val="32"/>
        </w:rPr>
      </w:r>
    </w:p>
    <w:p>
      <w:pPr>
        <w:pStyle w:val="Normal"/>
        <w:jc w:val="center"/>
        <w:rPr>
          <w:color w:val="000000"/>
          <w:sz w:val="32"/>
        </w:rPr>
      </w:pPr>
      <w:r>
        <w:rPr>
          <w:color w:val="000000"/>
          <w:sz w:val="32"/>
        </w:rPr>
      </w:r>
    </w:p>
    <w:p>
      <w:pPr>
        <w:pStyle w:val="Normal"/>
        <w:jc w:val="center"/>
        <w:rPr>
          <w:color w:val="000000"/>
          <w:sz w:val="32"/>
        </w:rPr>
      </w:pPr>
      <w:r>
        <w:rPr>
          <w:color w:val="000000"/>
          <w:sz w:val="32"/>
        </w:rPr>
      </w:r>
    </w:p>
    <w:p>
      <w:pPr>
        <w:pStyle w:val="Normal"/>
        <w:jc w:val="center"/>
        <w:rPr>
          <w:color w:val="000000"/>
          <w:sz w:val="32"/>
        </w:rPr>
      </w:pPr>
      <w:r>
        <w:rPr>
          <w:color w:val="000000"/>
          <w:sz w:val="32"/>
        </w:rPr>
      </w:r>
    </w:p>
    <w:p>
      <w:pPr>
        <w:pStyle w:val="Normal"/>
        <w:jc w:val="center"/>
        <w:rPr>
          <w:color w:val="000000"/>
          <w:sz w:val="32"/>
        </w:rPr>
      </w:pPr>
      <w:r>
        <w:rPr>
          <w:color w:val="000000"/>
          <w:sz w:val="32"/>
        </w:rPr>
      </w:r>
    </w:p>
    <w:p>
      <w:pPr>
        <w:pStyle w:val="Normal"/>
        <w:jc w:val="center"/>
        <w:rPr>
          <w:color w:val="000000"/>
          <w:sz w:val="32"/>
        </w:rPr>
      </w:pPr>
      <w:r>
        <w:rPr>
          <w:color w:val="000000"/>
          <w:sz w:val="32"/>
        </w:rPr>
      </w:r>
    </w:p>
    <w:p>
      <w:pPr>
        <w:pStyle w:val="Normal"/>
        <w:jc w:val="center"/>
        <w:rPr>
          <w:color w:val="000000"/>
          <w:sz w:val="32"/>
        </w:rPr>
      </w:pPr>
      <w:r>
        <w:rPr>
          <w:color w:val="000000"/>
          <w:sz w:val="32"/>
        </w:rPr>
      </w:r>
    </w:p>
    <w:p>
      <w:pPr>
        <w:pStyle w:val="Normal"/>
        <w:jc w:val="center"/>
        <w:rPr>
          <w:color w:val="000000"/>
          <w:sz w:val="32"/>
        </w:rPr>
      </w:pPr>
      <w:r>
        <w:rPr>
          <w:color w:val="000000"/>
          <w:sz w:val="32"/>
        </w:rPr>
      </w:r>
    </w:p>
    <w:p>
      <w:pPr>
        <w:sectPr>
          <w:footerReference w:type="default" r:id="rId2"/>
          <w:footerReference w:type="first" r:id="rId3"/>
          <w:type w:val="nextPage"/>
          <w:pgSz w:w="11906" w:h="16838"/>
          <w:pgMar w:left="1588" w:right="1588" w:header="0" w:top="1588" w:footer="1134" w:bottom="1588" w:gutter="0"/>
          <w:pgNumType w:fmt="decimal"/>
          <w:formProt w:val="false"/>
          <w:titlePg/>
          <w:textDirection w:val="lrTb"/>
          <w:docGrid w:type="default" w:linePitch="286" w:charSpace="0"/>
        </w:sectPr>
        <w:pStyle w:val="Normal"/>
        <w:jc w:val="center"/>
        <w:rPr>
          <w:b/>
          <w:b/>
          <w:color w:val="000000"/>
        </w:rPr>
      </w:pPr>
      <w:r>
        <w:rPr>
          <w:b/>
          <w:color w:val="000000"/>
        </w:rPr>
        <w:t>СОФИЯ, 2004</w:t>
      </w:r>
    </w:p>
    <w:p>
      <w:pPr>
        <w:pStyle w:val="NormalText"/>
        <w:rPr>
          <w:b/>
          <w:b/>
          <w:color w:val="000000"/>
        </w:rPr>
      </w:pPr>
      <w:r>
        <w:rPr>
          <w:b/>
          <w:color w:val="000000"/>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sectPr>
          <w:footerReference w:type="default" r:id="rId4"/>
          <w:footerReference w:type="first" r:id="rId5"/>
          <w:type w:val="nextPage"/>
          <w:pgSz w:w="11906" w:h="16838"/>
          <w:pgMar w:left="1588" w:right="1588" w:header="0" w:top="1588" w:footer="1134" w:bottom="1588" w:gutter="0"/>
          <w:pgNumType w:fmt="decimal"/>
          <w:formProt w:val="false"/>
          <w:titlePg/>
          <w:textDirection w:val="lrTb"/>
          <w:docGrid w:type="default" w:linePitch="286" w:charSpace="0"/>
        </w:sectPr>
        <w:pStyle w:val="NormalText"/>
        <w:rPr/>
      </w:pPr>
      <w:r>
        <w:rPr/>
      </w:r>
    </w:p>
    <w:p>
      <w:pPr>
        <w:pStyle w:val="NormalText"/>
        <w:ind w:hanging="0"/>
        <w:jc w:val="center"/>
        <w:rPr/>
      </w:pPr>
      <w:r>
        <w:rPr>
          <w:b/>
          <w:sz w:val="32"/>
        </w:rPr>
        <w:br/>
        <w:br/>
        <w:br/>
      </w:r>
      <w:r>
        <w:rPr>
          <w:b/>
          <w:sz w:val="40"/>
        </w:rPr>
        <w:t>проф. д-р Петър Петров</w:t>
      </w:r>
    </w:p>
    <w:p>
      <w:pPr>
        <w:pStyle w:val="NormalText"/>
        <w:ind w:hanging="0"/>
        <w:jc w:val="center"/>
        <w:rPr>
          <w:b/>
          <w:b/>
          <w:sz w:val="40"/>
        </w:rPr>
      </w:pPr>
      <w:r>
        <w:rPr>
          <w:b/>
          <w:sz w:val="40"/>
        </w:rPr>
      </w:r>
    </w:p>
    <w:p>
      <w:pPr>
        <w:pStyle w:val="NormalText"/>
        <w:ind w:hanging="0"/>
        <w:jc w:val="center"/>
        <w:rPr>
          <w:b/>
          <w:b/>
          <w:sz w:val="40"/>
        </w:rPr>
      </w:pPr>
      <w:r>
        <w:rPr>
          <w:b/>
          <w:sz w:val="40"/>
        </w:rPr>
      </w:r>
    </w:p>
    <w:p>
      <w:pPr>
        <w:pStyle w:val="NormalText"/>
        <w:ind w:hanging="0"/>
        <w:jc w:val="center"/>
        <w:rPr>
          <w:b/>
          <w:b/>
          <w:sz w:val="40"/>
        </w:rPr>
      </w:pPr>
      <w:r>
        <w:rPr>
          <w:b/>
          <w:sz w:val="40"/>
        </w:rPr>
      </w:r>
    </w:p>
    <w:p>
      <w:pPr>
        <w:pStyle w:val="NormalText"/>
        <w:ind w:hanging="0"/>
        <w:jc w:val="center"/>
        <w:rPr>
          <w:b/>
          <w:b/>
          <w:sz w:val="114"/>
        </w:rPr>
      </w:pPr>
      <w:r>
        <w:rPr>
          <w:b/>
          <w:sz w:val="114"/>
        </w:rPr>
      </w:r>
    </w:p>
    <w:p>
      <w:pPr>
        <w:pStyle w:val="NormalText"/>
        <w:ind w:hanging="0"/>
        <w:jc w:val="center"/>
        <w:rPr/>
      </w:pPr>
      <w:r>
        <w:rPr>
          <w:b/>
          <w:sz w:val="102"/>
        </w:rPr>
        <w:t>ОСНОВИ</w:t>
        <w:br/>
        <w:t>НА</w:t>
        <w:br/>
        <w:t>ГЕРАГОГИКАТА</w:t>
      </w:r>
    </w:p>
    <w:p>
      <w:pPr>
        <w:pStyle w:val="NormalText"/>
        <w:rPr>
          <w:b/>
          <w:b/>
          <w:sz w:val="16"/>
        </w:rPr>
      </w:pPr>
      <w:r>
        <w:rPr>
          <w:b/>
          <w:sz w:val="16"/>
        </w:rPr>
      </w:r>
    </w:p>
    <w:p>
      <w:pPr>
        <w:pStyle w:val="NormalText"/>
        <w:rPr>
          <w:sz w:val="16"/>
        </w:rPr>
      </w:pPr>
      <w:r>
        <w:rPr>
          <w:sz w:val="16"/>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ind w:hanging="0"/>
        <w:jc w:val="center"/>
        <w:rPr>
          <w:b/>
          <w:b/>
          <w:sz w:val="32"/>
        </w:rPr>
      </w:pPr>
      <w:r>
        <w:rPr>
          <w:b/>
          <w:sz w:val="32"/>
        </w:rPr>
        <w:t>“</w:t>
      </w:r>
      <w:r>
        <w:rPr>
          <w:b/>
          <w:sz w:val="32"/>
        </w:rPr>
        <w:t>Авангард Прима”</w:t>
      </w:r>
    </w:p>
    <w:p>
      <w:pPr>
        <w:sectPr>
          <w:footerReference w:type="default" r:id="rId6"/>
          <w:footerReference w:type="first" r:id="rId7"/>
          <w:type w:val="nextPage"/>
          <w:pgSz w:w="11906" w:h="16838"/>
          <w:pgMar w:left="1588" w:right="1588" w:header="0" w:top="1588" w:footer="1134" w:bottom="1588" w:gutter="0"/>
          <w:pgNumType w:fmt="decimal"/>
          <w:formProt w:val="false"/>
          <w:titlePg/>
          <w:textDirection w:val="lrTb"/>
          <w:docGrid w:type="default" w:linePitch="286" w:charSpace="0"/>
        </w:sectPr>
        <w:pStyle w:val="NormalText"/>
        <w:ind w:hanging="0"/>
        <w:jc w:val="center"/>
        <w:rPr>
          <w:b/>
          <w:b/>
          <w:sz w:val="32"/>
        </w:rPr>
      </w:pPr>
      <w:r>
        <w:rPr>
          <w:b/>
          <w:sz w:val="32"/>
        </w:rPr>
        <w:t>София, 2005</w:t>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rPr/>
      </w:pPr>
      <w:r>
        <w:rPr/>
      </w:r>
    </w:p>
    <w:p>
      <w:pPr>
        <w:pStyle w:val="NormalText"/>
        <w:ind w:hanging="0"/>
        <w:rPr/>
      </w:pPr>
      <w:r>
        <w:rPr/>
        <w:t>ОСНОВИ НА ГЕРАГОГИКАТА</w:t>
      </w:r>
    </w:p>
    <w:p>
      <w:pPr>
        <w:pStyle w:val="NormalText"/>
        <w:ind w:hanging="0"/>
        <w:rPr/>
      </w:pPr>
      <w:r>
        <w:rPr/>
        <w:t>проф. д-р Петър Петров, автор</w:t>
      </w:r>
    </w:p>
    <w:p>
      <w:pPr>
        <w:pStyle w:val="NormalText"/>
        <w:ind w:hanging="0"/>
        <w:rPr/>
      </w:pPr>
      <w:r>
        <w:rPr/>
      </w:r>
    </w:p>
    <w:p>
      <w:pPr>
        <w:pStyle w:val="NormalText"/>
        <w:ind w:hanging="0"/>
        <w:rPr/>
      </w:pPr>
      <w:r>
        <w:rPr/>
        <w:t>Формат: 60/84/16. Печатни коли:</w:t>
      </w:r>
    </w:p>
    <w:p>
      <w:pPr>
        <w:pStyle w:val="NormalText"/>
        <w:ind w:hanging="0"/>
        <w:rPr/>
      </w:pPr>
      <w:r>
        <w:rPr/>
        <w:t>Печат Документен център Авангард</w:t>
      </w:r>
    </w:p>
    <w:p>
      <w:pPr>
        <w:pStyle w:val="NormalText"/>
        <w:ind w:hanging="0"/>
        <w:rPr/>
      </w:pPr>
      <w:r>
        <w:rPr/>
        <w:t>Зимен дворец, партер, тел.: 02/ 68-80-64</w:t>
      </w:r>
    </w:p>
    <w:p>
      <w:pPr>
        <w:pStyle w:val="NormalText"/>
        <w:ind w:hanging="0"/>
        <w:rPr/>
      </w:pPr>
      <w:r>
        <w:rPr/>
      </w:r>
    </w:p>
    <w:p>
      <w:pPr>
        <w:pStyle w:val="NormalText"/>
        <w:ind w:hanging="0"/>
        <w:rPr/>
      </w:pPr>
      <w:r>
        <w:rPr/>
        <w:t>Издателство</w:t>
      </w:r>
    </w:p>
    <w:p>
      <w:pPr>
        <w:pStyle w:val="NormalText"/>
        <w:ind w:hanging="0"/>
        <w:rPr/>
      </w:pPr>
      <w:r>
        <w:rPr/>
        <w:t>“</w:t>
      </w:r>
      <w:r>
        <w:rPr/>
        <w:t>Авангард Прима”</w:t>
      </w:r>
    </w:p>
    <w:p>
      <w:pPr>
        <w:pStyle w:val="NormalText"/>
        <w:ind w:hanging="0"/>
        <w:rPr/>
      </w:pPr>
      <w:r>
        <w:rPr/>
      </w:r>
    </w:p>
    <w:p>
      <w:pPr>
        <w:pStyle w:val="NormalText"/>
        <w:ind w:hanging="0"/>
        <w:rPr/>
      </w:pPr>
      <w:r>
        <w:rPr/>
        <w:t>ISBN</w:t>
      </w:r>
      <w:r>
        <w:rPr>
          <w:lang w:val="en-US"/>
        </w:rPr>
        <w:t xml:space="preserve"> 954-323-056-0</w:t>
      </w:r>
    </w:p>
    <w:p>
      <w:pPr>
        <w:pStyle w:val="NormalText"/>
        <w:ind w:hanging="0"/>
        <w:rPr>
          <w:lang w:val="en-US"/>
        </w:rPr>
      </w:pPr>
      <w:r>
        <w:rPr>
          <w:lang w:val="en-US"/>
        </w:rPr>
      </w:r>
    </w:p>
    <w:p>
      <w:pPr>
        <w:pStyle w:val="NormalText"/>
        <w:ind w:hanging="0"/>
        <w:rPr/>
      </w:pPr>
      <w:r>
        <w:rPr/>
        <w:t>София, 2004</w:t>
      </w:r>
    </w:p>
    <w:p>
      <w:pPr>
        <w:pStyle w:val="Heading1"/>
        <w:rPr/>
      </w:pPr>
      <w:r>
        <w:rPr/>
        <w:t>Съдържание</w:t>
      </w:r>
    </w:p>
    <w:sdt>
      <w:sdtPr>
        <w:docPartObj>
          <w:docPartGallery w:val="Table of Contents"/>
          <w:docPartUnique w:val="true"/>
        </w:docPartObj>
      </w:sdtPr>
      <w:sdtContent>
        <w:p>
          <w:pPr>
            <w:pStyle w:val="Contents1"/>
            <w:tabs>
              <w:tab w:val="clear" w:pos="8220"/>
              <w:tab w:val="right" w:pos="8647" w:leader="dot"/>
            </w:tabs>
            <w:rPr>
              <w:b w:val="false"/>
              <w:b w:val="false"/>
              <w:caps w:val="false"/>
              <w:smallCaps w:val="false"/>
              <w:sz w:val="22"/>
              <w:lang w:val="en-US" w:eastAsia="en-US"/>
            </w:rPr>
          </w:pPr>
          <w:r>
            <w:fldChar w:fldCharType="begin"/>
          </w:r>
          <w:r>
            <w:rPr>
              <w:sz w:val="26"/>
              <w:lang w:val="en-US" w:eastAsia="en-US"/>
            </w:rPr>
            <w:instrText> TOC \o "1-2" \x \w \* MERGEFORMAT </w:instrText>
          </w:r>
          <w:r>
            <w:rPr>
              <w:sz w:val="26"/>
              <w:lang w:val="en-US" w:eastAsia="en-US"/>
            </w:rPr>
            <w:fldChar w:fldCharType="separate"/>
          </w:r>
          <w:r>
            <w:rPr>
              <w:sz w:val="26"/>
              <w:lang w:val="en-US" w:eastAsia="en-US"/>
            </w:rPr>
            <w:t>ПРЕДГОВОР</w:t>
            <w:tab/>
          </w:r>
          <w:hyperlink w:anchor="__RefHeading___Toc89859661">
            <w:r>
              <w:rPr>
                <w:rStyle w:val="IndexLink"/>
                <w:sz w:val="26"/>
                <w:lang w:val="en-US" w:eastAsia="en-US"/>
              </w:rPr>
              <w:t>8</w:t>
            </w:r>
          </w:hyperlink>
        </w:p>
        <w:p>
          <w:pPr>
            <w:pStyle w:val="Contents1"/>
            <w:tabs>
              <w:tab w:val="clear" w:pos="8220"/>
              <w:tab w:val="right" w:pos="8647" w:leader="dot"/>
            </w:tabs>
            <w:rPr>
              <w:b w:val="false"/>
              <w:b w:val="false"/>
              <w:caps w:val="false"/>
              <w:smallCaps w:val="false"/>
              <w:sz w:val="22"/>
              <w:lang w:val="en-US" w:eastAsia="en-US"/>
            </w:rPr>
          </w:pPr>
          <w:r>
            <w:rPr>
              <w:sz w:val="26"/>
              <w:lang w:val="en-US" w:eastAsia="en-US"/>
            </w:rPr>
            <w:t>ПЪРВА ТЕМА</w:t>
            <w:br/>
            <w:t>НАУЧНИЯТ СТАТУТ НА ГЕРАГОГИКАТА</w:t>
            <w:tab/>
          </w:r>
          <w:hyperlink w:anchor="__RefHeading___Toc89859662">
            <w:r>
              <w:rPr>
                <w:rStyle w:val="IndexLink"/>
                <w:sz w:val="26"/>
                <w:lang w:val="en-US" w:eastAsia="en-US"/>
              </w:rPr>
              <w:t>10</w:t>
            </w:r>
          </w:hyperlink>
        </w:p>
        <w:p>
          <w:pPr>
            <w:pStyle w:val="Contents2"/>
            <w:tabs>
              <w:tab w:val="clear" w:pos="8222"/>
              <w:tab w:val="right" w:pos="8647" w:leader="dot"/>
            </w:tabs>
            <w:rPr>
              <w:b w:val="false"/>
              <w:b w:val="false"/>
              <w:caps w:val="false"/>
              <w:smallCaps w:val="false"/>
              <w:sz w:val="22"/>
              <w:lang w:val="en-US" w:eastAsia="en-US"/>
            </w:rPr>
          </w:pPr>
          <w:r>
            <w:rPr>
              <w:sz w:val="24"/>
              <w:lang w:val="en-US" w:eastAsia="en-US"/>
            </w:rPr>
            <w:t>1.1. Герагогиката в системата на научното познание</w:t>
            <w:tab/>
          </w:r>
          <w:hyperlink w:anchor="__RefHeading___Toc89859663">
            <w:r>
              <w:rPr>
                <w:rStyle w:val="IndexLink"/>
                <w:sz w:val="24"/>
                <w:lang w:val="en-US" w:eastAsia="en-US"/>
              </w:rPr>
              <w:t>10</w:t>
            </w:r>
          </w:hyperlink>
        </w:p>
        <w:p>
          <w:pPr>
            <w:pStyle w:val="Contents2"/>
            <w:tabs>
              <w:tab w:val="clear" w:pos="8222"/>
              <w:tab w:val="right" w:pos="8647" w:leader="dot"/>
            </w:tabs>
            <w:rPr>
              <w:b w:val="false"/>
              <w:b w:val="false"/>
              <w:caps w:val="false"/>
              <w:smallCaps w:val="false"/>
              <w:sz w:val="22"/>
              <w:lang w:val="en-US" w:eastAsia="en-US"/>
            </w:rPr>
          </w:pPr>
          <w:r>
            <w:rPr>
              <w:sz w:val="24"/>
              <w:lang w:val="en-US" w:eastAsia="en-US"/>
            </w:rPr>
            <w:t>1.2. Предмет и задачи на герагогиката</w:t>
            <w:tab/>
          </w:r>
          <w:hyperlink w:anchor="__RefHeading___Toc89859664">
            <w:r>
              <w:rPr>
                <w:rStyle w:val="IndexLink"/>
                <w:sz w:val="24"/>
                <w:lang w:val="en-US" w:eastAsia="en-US"/>
              </w:rPr>
              <w:t>12</w:t>
            </w:r>
          </w:hyperlink>
        </w:p>
        <w:p>
          <w:pPr>
            <w:pStyle w:val="Contents2"/>
            <w:tabs>
              <w:tab w:val="clear" w:pos="8222"/>
              <w:tab w:val="right" w:pos="8647" w:leader="dot"/>
            </w:tabs>
            <w:rPr>
              <w:b w:val="false"/>
              <w:b w:val="false"/>
              <w:caps w:val="false"/>
              <w:smallCaps w:val="false"/>
              <w:sz w:val="22"/>
              <w:lang w:val="en-US" w:eastAsia="en-US"/>
            </w:rPr>
          </w:pPr>
          <w:r>
            <w:rPr>
              <w:sz w:val="24"/>
              <w:lang w:val="en-US" w:eastAsia="en-US"/>
            </w:rPr>
            <w:t>1.3. Основни категории  на герагогиката</w:t>
            <w:tab/>
          </w:r>
          <w:hyperlink w:anchor="__RefHeading___Toc89859665">
            <w:r>
              <w:rPr>
                <w:rStyle w:val="IndexLink"/>
                <w:sz w:val="24"/>
                <w:lang w:val="en-US" w:eastAsia="en-US"/>
              </w:rPr>
              <w:t>15</w:t>
            </w:r>
          </w:hyperlink>
        </w:p>
        <w:p>
          <w:pPr>
            <w:pStyle w:val="Contents1"/>
            <w:tabs>
              <w:tab w:val="clear" w:pos="8220"/>
              <w:tab w:val="right" w:pos="8647" w:leader="dot"/>
            </w:tabs>
            <w:rPr>
              <w:b w:val="false"/>
              <w:b w:val="false"/>
              <w:caps w:val="false"/>
              <w:smallCaps w:val="false"/>
              <w:sz w:val="22"/>
              <w:lang w:val="en-US" w:eastAsia="en-US"/>
            </w:rPr>
          </w:pPr>
          <w:r>
            <w:rPr>
              <w:sz w:val="26"/>
              <w:lang w:val="en-US" w:eastAsia="en-US"/>
            </w:rPr>
            <w:t>ВТОРА ТЕМА</w:t>
            <w:br/>
            <w:t xml:space="preserve">“ТРЕТАТА ВЪЗРАСТ” В СИСТЕМАТА НА  ПЕРИОДИЗАЦИЯТА </w:t>
            <w:br/>
            <w:t>НА ОНТОГЕНЕТИЧНОТО РАЗВИТИЕ НА ЧОВЕКА</w:t>
            <w:tab/>
          </w:r>
          <w:hyperlink w:anchor="__RefHeading___Toc89859666">
            <w:r>
              <w:rPr>
                <w:rStyle w:val="IndexLink"/>
                <w:sz w:val="26"/>
                <w:lang w:val="en-US" w:eastAsia="en-US"/>
              </w:rPr>
              <w:t>22</w:t>
            </w:r>
          </w:hyperlink>
        </w:p>
        <w:p>
          <w:pPr>
            <w:pStyle w:val="Contents2"/>
            <w:tabs>
              <w:tab w:val="clear" w:pos="8222"/>
              <w:tab w:val="right" w:pos="8647" w:leader="dot"/>
            </w:tabs>
            <w:rPr>
              <w:b w:val="false"/>
              <w:b w:val="false"/>
              <w:caps w:val="false"/>
              <w:smallCaps w:val="false"/>
              <w:sz w:val="22"/>
              <w:lang w:val="en-US" w:eastAsia="en-US"/>
            </w:rPr>
          </w:pPr>
          <w:r>
            <w:rPr>
              <w:sz w:val="24"/>
              <w:lang w:val="en-US" w:eastAsia="en-US"/>
            </w:rPr>
            <w:t>2.1. Преглед на по-известните  периодизации на човешкото развитие</w:t>
            <w:tab/>
          </w:r>
          <w:hyperlink w:anchor="__RefHeading___Toc89859667">
            <w:r>
              <w:rPr>
                <w:rStyle w:val="IndexLink"/>
                <w:sz w:val="24"/>
                <w:lang w:val="en-US" w:eastAsia="en-US"/>
              </w:rPr>
              <w:t>22</w:t>
            </w:r>
          </w:hyperlink>
        </w:p>
        <w:p>
          <w:pPr>
            <w:pStyle w:val="Contents2"/>
            <w:tabs>
              <w:tab w:val="clear" w:pos="8222"/>
              <w:tab w:val="right" w:pos="8647" w:leader="dot"/>
            </w:tabs>
            <w:rPr>
              <w:sz w:val="24"/>
              <w:lang w:val="en-US" w:eastAsia="en-US"/>
            </w:rPr>
          </w:pPr>
          <w:r>
            <w:rPr>
              <w:sz w:val="24"/>
              <w:lang w:val="en-US" w:eastAsia="en-US"/>
            </w:rPr>
            <w:t>2.2. Обща характеристика на третата възраст, на методите и подходите  за нейното изследване</w:t>
            <w:tab/>
          </w:r>
          <w:hyperlink w:anchor="__RefHeading___Toc89859668">
            <w:r>
              <w:rPr>
                <w:rStyle w:val="IndexLink"/>
                <w:sz w:val="24"/>
                <w:lang w:val="en-US" w:eastAsia="en-US"/>
              </w:rPr>
              <w:t>34</w:t>
            </w:r>
          </w:hyperlink>
        </w:p>
        <w:p>
          <w:pPr>
            <w:pStyle w:val="Contents1"/>
            <w:tabs>
              <w:tab w:val="clear" w:pos="8220"/>
              <w:tab w:val="right" w:pos="8647" w:leader="dot"/>
            </w:tabs>
            <w:rPr>
              <w:b w:val="false"/>
              <w:b w:val="false"/>
              <w:caps w:val="false"/>
              <w:smallCaps w:val="false"/>
              <w:sz w:val="22"/>
              <w:lang w:val="en-US" w:eastAsia="en-US"/>
            </w:rPr>
          </w:pPr>
          <w:r>
            <w:rPr>
              <w:sz w:val="26"/>
              <w:lang w:val="en-US" w:eastAsia="en-US"/>
            </w:rPr>
            <w:t>ТРЕТА ТЕМА</w:t>
            <w:br/>
            <w:t>ГЕРОНТОЛОГИЧНИ ОСНОВИ НА ГЕРАГОГИКАТА</w:t>
            <w:tab/>
          </w:r>
          <w:hyperlink w:anchor="__RefHeading___Toc89859669">
            <w:r>
              <w:rPr>
                <w:rStyle w:val="IndexLink"/>
                <w:sz w:val="26"/>
                <w:lang w:val="en-US" w:eastAsia="en-US"/>
              </w:rPr>
              <w:t>46</w:t>
            </w:r>
          </w:hyperlink>
        </w:p>
        <w:p>
          <w:pPr>
            <w:pStyle w:val="Contents2"/>
            <w:tabs>
              <w:tab w:val="clear" w:pos="8222"/>
              <w:tab w:val="right" w:pos="8647" w:leader="dot"/>
            </w:tabs>
            <w:rPr>
              <w:b w:val="false"/>
              <w:b w:val="false"/>
              <w:caps w:val="false"/>
              <w:smallCaps w:val="false"/>
              <w:sz w:val="22"/>
              <w:lang w:val="en-US" w:eastAsia="en-US"/>
            </w:rPr>
          </w:pPr>
          <w:r>
            <w:rPr>
              <w:sz w:val="24"/>
              <w:lang w:val="en-US" w:eastAsia="en-US"/>
            </w:rPr>
            <w:t>3.1. Геронтологията в системата на научното познание.</w:t>
            <w:tab/>
          </w:r>
          <w:hyperlink w:anchor="__RefHeading___Toc89859670">
            <w:r>
              <w:rPr>
                <w:rStyle w:val="IndexLink"/>
                <w:sz w:val="24"/>
                <w:lang w:val="en-US" w:eastAsia="en-US"/>
              </w:rPr>
              <w:t>46</w:t>
            </w:r>
          </w:hyperlink>
        </w:p>
        <w:p>
          <w:pPr>
            <w:pStyle w:val="Contents2"/>
            <w:tabs>
              <w:tab w:val="clear" w:pos="8222"/>
              <w:tab w:val="right" w:pos="8647" w:leader="dot"/>
            </w:tabs>
            <w:rPr>
              <w:b w:val="false"/>
              <w:b w:val="false"/>
              <w:caps w:val="false"/>
              <w:smallCaps w:val="false"/>
              <w:sz w:val="22"/>
              <w:lang w:val="en-US" w:eastAsia="en-US"/>
            </w:rPr>
          </w:pPr>
          <w:r>
            <w:rPr>
              <w:sz w:val="24"/>
              <w:lang w:val="en-US" w:eastAsia="en-US"/>
            </w:rPr>
            <w:t xml:space="preserve">3.2. Стареенето и старостта –закономерен процес </w:t>
            <w:br/>
            <w:t>в онтогенетичното развитие на човека</w:t>
            <w:tab/>
          </w:r>
          <w:hyperlink w:anchor="__RefHeading___Toc89859671">
            <w:r>
              <w:rPr>
                <w:rStyle w:val="IndexLink"/>
                <w:sz w:val="24"/>
                <w:lang w:val="en-US" w:eastAsia="en-US"/>
              </w:rPr>
              <w:t>50</w:t>
            </w:r>
          </w:hyperlink>
        </w:p>
        <w:p>
          <w:pPr>
            <w:pStyle w:val="Contents2"/>
            <w:tabs>
              <w:tab w:val="clear" w:pos="8222"/>
              <w:tab w:val="right" w:pos="8647" w:leader="dot"/>
            </w:tabs>
            <w:rPr>
              <w:b w:val="false"/>
              <w:b w:val="false"/>
              <w:caps w:val="false"/>
              <w:smallCaps w:val="false"/>
              <w:sz w:val="22"/>
              <w:lang w:val="en-US" w:eastAsia="en-US"/>
            </w:rPr>
          </w:pPr>
          <w:r>
            <w:rPr>
              <w:sz w:val="24"/>
              <w:lang w:val="en-US" w:eastAsia="en-US"/>
            </w:rPr>
            <w:t>3.3. По-важни теории за стареенето.</w:t>
            <w:tab/>
          </w:r>
          <w:hyperlink w:anchor="__RefHeading___Toc89859672">
            <w:r>
              <w:rPr>
                <w:rStyle w:val="IndexLink"/>
                <w:sz w:val="24"/>
                <w:lang w:val="en-US" w:eastAsia="en-US"/>
              </w:rPr>
              <w:t>58</w:t>
            </w:r>
          </w:hyperlink>
        </w:p>
        <w:p>
          <w:pPr>
            <w:pStyle w:val="Contents2"/>
            <w:tabs>
              <w:tab w:val="clear" w:pos="8222"/>
              <w:tab w:val="right" w:pos="8647" w:leader="dot"/>
            </w:tabs>
            <w:rPr>
              <w:b w:val="false"/>
              <w:b w:val="false"/>
              <w:caps w:val="false"/>
              <w:smallCaps w:val="false"/>
              <w:sz w:val="22"/>
              <w:lang w:val="en-US" w:eastAsia="en-US"/>
            </w:rPr>
          </w:pPr>
          <w:r>
            <w:rPr>
              <w:sz w:val="24"/>
              <w:lang w:val="en-US" w:eastAsia="en-US"/>
            </w:rPr>
            <w:t>3.4. Нормално и преждевременно стареене</w:t>
            <w:tab/>
          </w:r>
          <w:hyperlink w:anchor="__RefHeading___Toc89859673">
            <w:r>
              <w:rPr>
                <w:rStyle w:val="IndexLink"/>
                <w:sz w:val="24"/>
                <w:lang w:val="en-US" w:eastAsia="en-US"/>
              </w:rPr>
              <w:t>64</w:t>
            </w:r>
          </w:hyperlink>
        </w:p>
        <w:p>
          <w:pPr>
            <w:pStyle w:val="Contents2"/>
            <w:tabs>
              <w:tab w:val="clear" w:pos="8222"/>
              <w:tab w:val="right" w:pos="8647" w:leader="dot"/>
            </w:tabs>
            <w:rPr>
              <w:b w:val="false"/>
              <w:b w:val="false"/>
              <w:caps w:val="false"/>
              <w:smallCaps w:val="false"/>
              <w:sz w:val="22"/>
              <w:lang w:val="en-US" w:eastAsia="en-US"/>
            </w:rPr>
          </w:pPr>
          <w:r>
            <w:rPr>
              <w:sz w:val="24"/>
              <w:lang w:val="en-US" w:eastAsia="en-US"/>
            </w:rPr>
            <w:t>3.5. Продължителност на живота.  Измерване на  стареенето. “Възрастова норма” и индивидуални отклонения</w:t>
            <w:tab/>
          </w:r>
          <w:hyperlink w:anchor="__RefHeading___Toc89859674">
            <w:r>
              <w:rPr>
                <w:rStyle w:val="IndexLink"/>
                <w:sz w:val="24"/>
                <w:lang w:val="en-US" w:eastAsia="en-US"/>
              </w:rPr>
              <w:t>67</w:t>
            </w:r>
          </w:hyperlink>
        </w:p>
        <w:p>
          <w:pPr>
            <w:pStyle w:val="Contents2"/>
            <w:tabs>
              <w:tab w:val="clear" w:pos="8222"/>
              <w:tab w:val="right" w:pos="8647" w:leader="dot"/>
            </w:tabs>
            <w:rPr>
              <w:b w:val="false"/>
              <w:b w:val="false"/>
              <w:caps w:val="false"/>
              <w:smallCaps w:val="false"/>
              <w:sz w:val="22"/>
              <w:lang w:val="en-US" w:eastAsia="en-US"/>
            </w:rPr>
          </w:pPr>
          <w:r>
            <w:rPr>
              <w:sz w:val="24"/>
              <w:lang w:val="en-US" w:eastAsia="en-US"/>
            </w:rPr>
            <w:t xml:space="preserve">3.6. Проблемът за забавяне на процесите на стареенето </w:t>
            <w:br/>
            <w:t xml:space="preserve">и увеличаване на продължителността на живота. </w:t>
            <w:br/>
            <w:t>“Вечният” проблем за смъртта и дълголетието (безсмъртието)</w:t>
            <w:tab/>
          </w:r>
          <w:hyperlink w:anchor="__RefHeading___Toc89859675">
            <w:r>
              <w:rPr>
                <w:rStyle w:val="IndexLink"/>
                <w:sz w:val="24"/>
                <w:lang w:val="en-US" w:eastAsia="en-US"/>
              </w:rPr>
              <w:t>75</w:t>
            </w:r>
          </w:hyperlink>
        </w:p>
        <w:p>
          <w:pPr>
            <w:pStyle w:val="Contents1"/>
            <w:tabs>
              <w:tab w:val="clear" w:pos="8220"/>
              <w:tab w:val="right" w:pos="8647" w:leader="dot"/>
            </w:tabs>
            <w:rPr>
              <w:b w:val="false"/>
              <w:b w:val="false"/>
              <w:caps w:val="false"/>
              <w:smallCaps w:val="false"/>
              <w:sz w:val="22"/>
              <w:lang w:val="en-US" w:eastAsia="en-US"/>
            </w:rPr>
          </w:pPr>
          <w:r>
            <w:rPr>
              <w:sz w:val="26"/>
              <w:lang w:val="en-US" w:eastAsia="en-US"/>
            </w:rPr>
            <w:t>Четвърта тема</w:t>
            <w:br/>
            <w:t>ДЕМОГРАФСКИ  ОСНОВИ НА ГЕРАГОГИКАТА</w:t>
            <w:tab/>
          </w:r>
          <w:hyperlink w:anchor="__RefHeading___Toc89859676">
            <w:r>
              <w:rPr>
                <w:rStyle w:val="IndexLink"/>
                <w:sz w:val="26"/>
                <w:lang w:val="en-US" w:eastAsia="en-US"/>
              </w:rPr>
              <w:t>84</w:t>
            </w:r>
          </w:hyperlink>
        </w:p>
        <w:p>
          <w:pPr>
            <w:pStyle w:val="Contents2"/>
            <w:tabs>
              <w:tab w:val="clear" w:pos="8222"/>
              <w:tab w:val="right" w:pos="8647" w:leader="dot"/>
            </w:tabs>
            <w:rPr>
              <w:b w:val="false"/>
              <w:b w:val="false"/>
              <w:caps w:val="false"/>
              <w:smallCaps w:val="false"/>
              <w:sz w:val="22"/>
              <w:lang w:val="en-US" w:eastAsia="en-US"/>
            </w:rPr>
          </w:pPr>
          <w:r>
            <w:rPr>
              <w:sz w:val="24"/>
              <w:lang w:val="en-US" w:eastAsia="en-US"/>
            </w:rPr>
            <w:t>4.1. Демографският преход и неговите основни етапи</w:t>
            <w:tab/>
          </w:r>
          <w:hyperlink w:anchor="__RefHeading___Toc89859677">
            <w:r>
              <w:rPr>
                <w:rStyle w:val="IndexLink"/>
                <w:sz w:val="24"/>
                <w:lang w:val="en-US" w:eastAsia="en-US"/>
              </w:rPr>
              <w:t>84</w:t>
            </w:r>
          </w:hyperlink>
        </w:p>
        <w:p>
          <w:pPr>
            <w:pStyle w:val="Contents2"/>
            <w:tabs>
              <w:tab w:val="clear" w:pos="8222"/>
              <w:tab w:val="right" w:pos="8647" w:leader="dot"/>
            </w:tabs>
            <w:rPr>
              <w:b w:val="false"/>
              <w:b w:val="false"/>
              <w:caps w:val="false"/>
              <w:smallCaps w:val="false"/>
              <w:sz w:val="22"/>
              <w:lang w:val="en-US" w:eastAsia="en-US"/>
            </w:rPr>
          </w:pPr>
          <w:r>
            <w:rPr>
              <w:sz w:val="24"/>
              <w:lang w:val="en-US" w:eastAsia="en-US"/>
            </w:rPr>
            <w:t>4.2. Демографско остаряване на населението в България</w:t>
            <w:tab/>
          </w:r>
          <w:hyperlink w:anchor="__RefHeading___Toc89859678">
            <w:r>
              <w:rPr>
                <w:rStyle w:val="IndexLink"/>
                <w:sz w:val="24"/>
                <w:lang w:val="en-US" w:eastAsia="en-US"/>
              </w:rPr>
              <w:t>88</w:t>
            </w:r>
          </w:hyperlink>
        </w:p>
        <w:p>
          <w:pPr>
            <w:pStyle w:val="Contents1"/>
            <w:tabs>
              <w:tab w:val="clear" w:pos="8220"/>
              <w:tab w:val="right" w:pos="8647" w:leader="dot"/>
            </w:tabs>
            <w:rPr>
              <w:b w:val="false"/>
              <w:b w:val="false"/>
              <w:caps w:val="false"/>
              <w:smallCaps w:val="false"/>
              <w:sz w:val="22"/>
              <w:lang w:val="en-US" w:eastAsia="en-US"/>
            </w:rPr>
          </w:pPr>
          <w:r>
            <w:rPr>
              <w:sz w:val="26"/>
              <w:lang w:val="en-US" w:eastAsia="en-US"/>
            </w:rPr>
            <w:t>ПЕТА ТЕМА</w:t>
            <w:br/>
            <w:t>ЗДРАВНО-ХИГИЕННИ</w:t>
            <w:br/>
            <w:t>ОСНОВИ НА ГЕРАГОГИКАТА</w:t>
            <w:tab/>
          </w:r>
          <w:hyperlink w:anchor="__RefHeading___Toc89859679">
            <w:r>
              <w:rPr>
                <w:rStyle w:val="IndexLink"/>
                <w:sz w:val="26"/>
                <w:lang w:val="en-US" w:eastAsia="en-US"/>
              </w:rPr>
              <w:t>97</w:t>
            </w:r>
          </w:hyperlink>
        </w:p>
        <w:p>
          <w:pPr>
            <w:pStyle w:val="Contents2"/>
            <w:tabs>
              <w:tab w:val="clear" w:pos="8222"/>
              <w:tab w:val="right" w:pos="8647" w:leader="dot"/>
            </w:tabs>
            <w:rPr>
              <w:b w:val="false"/>
              <w:b w:val="false"/>
              <w:caps w:val="false"/>
              <w:smallCaps w:val="false"/>
              <w:sz w:val="22"/>
              <w:lang w:val="en-US" w:eastAsia="en-US"/>
            </w:rPr>
          </w:pPr>
          <w:r>
            <w:rPr>
              <w:sz w:val="24"/>
              <w:lang w:val="en-US" w:eastAsia="en-US"/>
            </w:rPr>
            <w:t>5.1. Здравето – основна човешка ценност</w:t>
            <w:tab/>
          </w:r>
          <w:hyperlink w:anchor="__RefHeading___Toc89859680">
            <w:r>
              <w:rPr>
                <w:rStyle w:val="IndexLink"/>
                <w:sz w:val="24"/>
                <w:lang w:val="en-US" w:eastAsia="en-US"/>
              </w:rPr>
              <w:t>97</w:t>
            </w:r>
          </w:hyperlink>
        </w:p>
        <w:p>
          <w:pPr>
            <w:pStyle w:val="Contents2"/>
            <w:tabs>
              <w:tab w:val="clear" w:pos="8222"/>
              <w:tab w:val="right" w:pos="8647" w:leader="dot"/>
            </w:tabs>
            <w:rPr>
              <w:b w:val="false"/>
              <w:b w:val="false"/>
              <w:caps w:val="false"/>
              <w:smallCaps w:val="false"/>
              <w:sz w:val="22"/>
              <w:lang w:val="en-US" w:eastAsia="en-US"/>
            </w:rPr>
          </w:pPr>
          <w:r>
            <w:rPr>
              <w:sz w:val="24"/>
              <w:lang w:val="en-US" w:eastAsia="en-US"/>
            </w:rPr>
            <w:t xml:space="preserve">5.2. Обща характеристика на здравното състояние </w:t>
            <w:br/>
            <w:t>на българската нация</w:t>
            <w:tab/>
          </w:r>
          <w:hyperlink w:anchor="__RefHeading___Toc89859681">
            <w:r>
              <w:rPr>
                <w:rStyle w:val="IndexLink"/>
                <w:sz w:val="24"/>
                <w:lang w:val="en-US" w:eastAsia="en-US"/>
              </w:rPr>
              <w:t>100</w:t>
            </w:r>
          </w:hyperlink>
        </w:p>
        <w:p>
          <w:pPr>
            <w:pStyle w:val="Contents2"/>
            <w:tabs>
              <w:tab w:val="clear" w:pos="8222"/>
              <w:tab w:val="right" w:pos="8647" w:leader="dot"/>
            </w:tabs>
            <w:rPr>
              <w:b w:val="false"/>
              <w:b w:val="false"/>
              <w:caps w:val="false"/>
              <w:smallCaps w:val="false"/>
              <w:sz w:val="22"/>
              <w:lang w:val="en-US" w:eastAsia="en-US"/>
            </w:rPr>
          </w:pPr>
          <w:r>
            <w:rPr>
              <w:sz w:val="24"/>
              <w:lang w:val="en-US" w:eastAsia="en-US"/>
            </w:rPr>
            <w:t xml:space="preserve">5.3. Рационалното хранене   в напреднала и старческа възраст – </w:t>
            <w:br/>
            <w:t>фактор за пълноценен живот и дълголетие</w:t>
            <w:tab/>
          </w:r>
          <w:hyperlink w:anchor="__RefHeading___Toc89859682">
            <w:r>
              <w:rPr>
                <w:rStyle w:val="IndexLink"/>
                <w:sz w:val="24"/>
                <w:lang w:val="en-US" w:eastAsia="en-US"/>
              </w:rPr>
              <w:t>112</w:t>
            </w:r>
          </w:hyperlink>
        </w:p>
        <w:p>
          <w:pPr>
            <w:pStyle w:val="Contents2"/>
            <w:tabs>
              <w:tab w:val="clear" w:pos="8222"/>
              <w:tab w:val="right" w:pos="8647" w:leader="dot"/>
            </w:tabs>
            <w:rPr>
              <w:b w:val="false"/>
              <w:b w:val="false"/>
              <w:caps w:val="false"/>
              <w:smallCaps w:val="false"/>
              <w:sz w:val="22"/>
              <w:lang w:val="en-US" w:eastAsia="en-US"/>
            </w:rPr>
          </w:pPr>
          <w:r>
            <w:rPr>
              <w:sz w:val="24"/>
              <w:lang w:val="en-US" w:eastAsia="en-US"/>
            </w:rPr>
            <w:t xml:space="preserve">5.4.  Активната двигателна дейност в напреднала и старческа </w:t>
            <w:br/>
            <w:t>възраст – фактор за пълноценен живот и дълголетие</w:t>
            <w:tab/>
          </w:r>
          <w:hyperlink w:anchor="__RefHeading___Toc89859683">
            <w:r>
              <w:rPr>
                <w:rStyle w:val="IndexLink"/>
                <w:sz w:val="24"/>
                <w:lang w:val="en-US" w:eastAsia="en-US"/>
              </w:rPr>
              <w:t>128</w:t>
            </w:r>
          </w:hyperlink>
        </w:p>
        <w:p>
          <w:pPr>
            <w:pStyle w:val="Contents2"/>
            <w:tabs>
              <w:tab w:val="clear" w:pos="8222"/>
              <w:tab w:val="right" w:pos="8647" w:leader="dot"/>
            </w:tabs>
            <w:rPr>
              <w:b w:val="false"/>
              <w:b w:val="false"/>
              <w:caps w:val="false"/>
              <w:smallCaps w:val="false"/>
              <w:sz w:val="22"/>
              <w:lang w:val="en-US" w:eastAsia="en-US"/>
            </w:rPr>
          </w:pPr>
          <w:r>
            <w:rPr>
              <w:sz w:val="24"/>
              <w:lang w:val="en-US" w:eastAsia="en-US"/>
            </w:rPr>
            <w:t xml:space="preserve">5.5. Здравни проблеми и  здравни потребности на лицата </w:t>
            <w:br/>
            <w:t>в напреднала и старческа  възраст</w:t>
            <w:tab/>
          </w:r>
          <w:hyperlink w:anchor="__RefHeading___Toc89859684">
            <w:r>
              <w:rPr>
                <w:rStyle w:val="IndexLink"/>
                <w:sz w:val="24"/>
                <w:lang w:val="en-US" w:eastAsia="en-US"/>
              </w:rPr>
              <w:t>130</w:t>
            </w:r>
          </w:hyperlink>
        </w:p>
        <w:p>
          <w:pPr>
            <w:pStyle w:val="Contents1"/>
            <w:tabs>
              <w:tab w:val="clear" w:pos="8220"/>
              <w:tab w:val="right" w:pos="8647" w:leader="dot"/>
            </w:tabs>
            <w:rPr>
              <w:b w:val="false"/>
              <w:b w:val="false"/>
              <w:caps w:val="false"/>
              <w:smallCaps w:val="false"/>
              <w:sz w:val="22"/>
              <w:lang w:val="en-US" w:eastAsia="en-US"/>
            </w:rPr>
          </w:pPr>
          <w:r>
            <w:rPr>
              <w:sz w:val="26"/>
              <w:lang w:val="en-US" w:eastAsia="en-US"/>
            </w:rPr>
            <w:t>Шеста тема</w:t>
            <w:br/>
            <w:t>геронтопсихологични основи на герагогиката</w:t>
            <w:tab/>
          </w:r>
          <w:hyperlink w:anchor="__RefHeading___Toc89859685">
            <w:r>
              <w:rPr>
                <w:rStyle w:val="IndexLink"/>
                <w:sz w:val="26"/>
                <w:lang w:val="en-US" w:eastAsia="en-US"/>
              </w:rPr>
              <w:t>133</w:t>
            </w:r>
          </w:hyperlink>
        </w:p>
        <w:p>
          <w:pPr>
            <w:pStyle w:val="Contents2"/>
            <w:tabs>
              <w:tab w:val="clear" w:pos="8222"/>
              <w:tab w:val="right" w:pos="8647" w:leader="dot"/>
            </w:tabs>
            <w:rPr>
              <w:b w:val="false"/>
              <w:b w:val="false"/>
              <w:caps w:val="false"/>
              <w:smallCaps w:val="false"/>
              <w:sz w:val="22"/>
              <w:lang w:val="en-US" w:eastAsia="en-US"/>
            </w:rPr>
          </w:pPr>
          <w:r>
            <w:rPr>
              <w:sz w:val="24"/>
              <w:lang w:val="en-US" w:eastAsia="en-US"/>
            </w:rPr>
            <w:t>6.1. За предмета на геронтопсихологията</w:t>
            <w:tab/>
          </w:r>
          <w:hyperlink w:anchor="__RefHeading___Toc89859686">
            <w:r>
              <w:rPr>
                <w:rStyle w:val="IndexLink"/>
                <w:sz w:val="24"/>
                <w:lang w:val="en-US" w:eastAsia="en-US"/>
              </w:rPr>
              <w:t>133</w:t>
            </w:r>
          </w:hyperlink>
        </w:p>
        <w:p>
          <w:pPr>
            <w:pStyle w:val="Contents2"/>
            <w:tabs>
              <w:tab w:val="clear" w:pos="8222"/>
              <w:tab w:val="right" w:pos="8647" w:leader="dot"/>
            </w:tabs>
            <w:rPr>
              <w:b w:val="false"/>
              <w:b w:val="false"/>
              <w:caps w:val="false"/>
              <w:smallCaps w:val="false"/>
              <w:sz w:val="22"/>
              <w:lang w:val="en-US" w:eastAsia="en-US"/>
            </w:rPr>
          </w:pPr>
          <w:r>
            <w:rPr>
              <w:sz w:val="24"/>
              <w:lang w:val="en-US" w:eastAsia="en-US"/>
            </w:rPr>
            <w:t>6.2. Стареене на психиката в третата възраст</w:t>
            <w:tab/>
          </w:r>
          <w:hyperlink w:anchor="__RefHeading___Toc89859687">
            <w:r>
              <w:rPr>
                <w:rStyle w:val="IndexLink"/>
                <w:sz w:val="24"/>
                <w:lang w:val="en-US" w:eastAsia="en-US"/>
              </w:rPr>
              <w:t>135</w:t>
            </w:r>
          </w:hyperlink>
        </w:p>
        <w:p>
          <w:pPr>
            <w:pStyle w:val="Contents1"/>
            <w:tabs>
              <w:tab w:val="clear" w:pos="8220"/>
              <w:tab w:val="right" w:pos="8647" w:leader="dot"/>
            </w:tabs>
            <w:rPr>
              <w:b w:val="false"/>
              <w:b w:val="false"/>
              <w:caps w:val="false"/>
              <w:smallCaps w:val="false"/>
              <w:sz w:val="22"/>
              <w:lang w:val="en-US" w:eastAsia="en-US"/>
            </w:rPr>
          </w:pPr>
          <w:r>
            <w:rPr>
              <w:sz w:val="26"/>
              <w:lang w:val="en-US" w:eastAsia="en-US"/>
            </w:rPr>
            <w:t xml:space="preserve">СЕДМА ТЕМА </w:t>
            <w:br/>
            <w:t>ЦЕННОСТНИ СИСТЕМИ В  ТРЕТАТА ВЪЗРАСТ</w:t>
            <w:tab/>
          </w:r>
          <w:hyperlink w:anchor="__RefHeading___Toc89859688">
            <w:r>
              <w:rPr>
                <w:rStyle w:val="IndexLink"/>
                <w:sz w:val="26"/>
                <w:lang w:val="en-US" w:eastAsia="en-US"/>
              </w:rPr>
              <w:t>169</w:t>
            </w:r>
          </w:hyperlink>
        </w:p>
        <w:p>
          <w:pPr>
            <w:pStyle w:val="Contents2"/>
            <w:tabs>
              <w:tab w:val="clear" w:pos="8222"/>
              <w:tab w:val="right" w:pos="8647" w:leader="dot"/>
            </w:tabs>
            <w:rPr>
              <w:b w:val="false"/>
              <w:b w:val="false"/>
              <w:caps w:val="false"/>
              <w:smallCaps w:val="false"/>
              <w:sz w:val="22"/>
              <w:lang w:val="en-US" w:eastAsia="en-US"/>
            </w:rPr>
          </w:pPr>
          <w:r>
            <w:rPr>
              <w:sz w:val="24"/>
              <w:lang w:val="en-US" w:eastAsia="en-US"/>
            </w:rPr>
            <w:t>7.1.  Жизнени цели и целеполагане в третата възраст</w:t>
            <w:tab/>
          </w:r>
          <w:hyperlink w:anchor="__RefHeading___Toc89859689">
            <w:r>
              <w:rPr>
                <w:rStyle w:val="IndexLink"/>
                <w:sz w:val="24"/>
                <w:lang w:val="en-US" w:eastAsia="en-US"/>
              </w:rPr>
              <w:t>169</w:t>
            </w:r>
          </w:hyperlink>
        </w:p>
        <w:p>
          <w:pPr>
            <w:pStyle w:val="Contents2"/>
            <w:tabs>
              <w:tab w:val="clear" w:pos="8222"/>
              <w:tab w:val="right" w:pos="8647" w:leader="dot"/>
            </w:tabs>
            <w:rPr>
              <w:b w:val="false"/>
              <w:b w:val="false"/>
              <w:caps w:val="false"/>
              <w:smallCaps w:val="false"/>
              <w:sz w:val="22"/>
              <w:lang w:val="en-US" w:eastAsia="en-US"/>
            </w:rPr>
          </w:pPr>
          <w:r>
            <w:rPr>
              <w:sz w:val="24"/>
              <w:lang w:val="en-US" w:eastAsia="en-US"/>
            </w:rPr>
            <w:t>7.2.  Ценностни ориентации и интереси в третата възраст</w:t>
            <w:tab/>
          </w:r>
          <w:hyperlink w:anchor="__RefHeading___Toc89859690">
            <w:r>
              <w:rPr>
                <w:rStyle w:val="IndexLink"/>
                <w:sz w:val="24"/>
                <w:lang w:val="en-US" w:eastAsia="en-US"/>
              </w:rPr>
              <w:t>174</w:t>
            </w:r>
          </w:hyperlink>
        </w:p>
        <w:p>
          <w:pPr>
            <w:pStyle w:val="Contents2"/>
            <w:tabs>
              <w:tab w:val="clear" w:pos="8222"/>
              <w:tab w:val="right" w:pos="8647" w:leader="dot"/>
            </w:tabs>
            <w:rPr>
              <w:b w:val="false"/>
              <w:b w:val="false"/>
              <w:caps w:val="false"/>
              <w:smallCaps w:val="false"/>
              <w:sz w:val="22"/>
              <w:lang w:val="en-US" w:eastAsia="en-US"/>
            </w:rPr>
          </w:pPr>
          <w:r>
            <w:rPr>
              <w:sz w:val="24"/>
              <w:lang w:val="en-US" w:eastAsia="en-US"/>
            </w:rPr>
            <w:t>7.3. Емоционален статус и самочувствие в третата възраст</w:t>
            <w:tab/>
          </w:r>
          <w:hyperlink w:anchor="__RefHeading___Toc89859691">
            <w:r>
              <w:rPr>
                <w:rStyle w:val="IndexLink"/>
                <w:sz w:val="24"/>
                <w:lang w:val="en-US" w:eastAsia="en-US"/>
              </w:rPr>
              <w:t>178</w:t>
            </w:r>
          </w:hyperlink>
        </w:p>
        <w:p>
          <w:pPr>
            <w:pStyle w:val="Contents1"/>
            <w:tabs>
              <w:tab w:val="clear" w:pos="8220"/>
              <w:tab w:val="right" w:pos="8647" w:leader="dot"/>
            </w:tabs>
            <w:rPr>
              <w:b w:val="false"/>
              <w:b w:val="false"/>
              <w:caps w:val="false"/>
              <w:smallCaps w:val="false"/>
              <w:sz w:val="22"/>
              <w:lang w:val="en-US" w:eastAsia="en-US"/>
            </w:rPr>
          </w:pPr>
          <w:r>
            <w:rPr>
              <w:sz w:val="26"/>
              <w:lang w:val="en-US" w:eastAsia="en-US"/>
            </w:rPr>
            <w:t xml:space="preserve">ОСМА ТЕМА </w:t>
            <w:br/>
            <w:t>ОБЩУВАНЕТО  В  ТРЕТАТА ВЪЗРАСТ</w:t>
            <w:tab/>
          </w:r>
          <w:hyperlink w:anchor="__RefHeading___Toc89859692">
            <w:r>
              <w:rPr>
                <w:rStyle w:val="IndexLink"/>
                <w:sz w:val="26"/>
                <w:lang w:val="en-US" w:eastAsia="en-US"/>
              </w:rPr>
              <w:t>188</w:t>
            </w:r>
          </w:hyperlink>
        </w:p>
        <w:p>
          <w:pPr>
            <w:pStyle w:val="Contents2"/>
            <w:tabs>
              <w:tab w:val="clear" w:pos="8222"/>
              <w:tab w:val="right" w:pos="8647" w:leader="dot"/>
            </w:tabs>
            <w:rPr>
              <w:b w:val="false"/>
              <w:b w:val="false"/>
              <w:caps w:val="false"/>
              <w:smallCaps w:val="false"/>
              <w:sz w:val="22"/>
              <w:lang w:val="en-US" w:eastAsia="en-US"/>
            </w:rPr>
          </w:pPr>
          <w:r>
            <w:rPr>
              <w:sz w:val="24"/>
              <w:lang w:val="en-US" w:eastAsia="en-US"/>
            </w:rPr>
            <w:t>8.1.  За  социалната същност на общуването</w:t>
            <w:tab/>
          </w:r>
          <w:hyperlink w:anchor="__RefHeading___Toc89859693">
            <w:r>
              <w:rPr>
                <w:rStyle w:val="IndexLink"/>
                <w:sz w:val="24"/>
                <w:lang w:val="en-US" w:eastAsia="en-US"/>
              </w:rPr>
              <w:t>188</w:t>
            </w:r>
          </w:hyperlink>
        </w:p>
        <w:p>
          <w:pPr>
            <w:pStyle w:val="Contents2"/>
            <w:tabs>
              <w:tab w:val="clear" w:pos="8222"/>
              <w:tab w:val="right" w:pos="8647" w:leader="dot"/>
            </w:tabs>
            <w:rPr>
              <w:sz w:val="24"/>
              <w:lang w:val="en-US" w:eastAsia="en-US"/>
            </w:rPr>
          </w:pPr>
          <w:r>
            <w:rPr>
              <w:sz w:val="24"/>
              <w:lang w:val="en-US" w:eastAsia="en-US"/>
            </w:rPr>
            <w:t xml:space="preserve">8.2. Някои специфични особености на общуването </w:t>
            <w:br/>
            <w:t>в третата възраст</w:t>
            <w:tab/>
          </w:r>
          <w:hyperlink w:anchor="__RefHeading___Toc89859694">
            <w:r>
              <w:rPr>
                <w:rStyle w:val="IndexLink"/>
                <w:sz w:val="24"/>
                <w:lang w:val="en-US" w:eastAsia="en-US"/>
              </w:rPr>
              <w:t>191</w:t>
            </w:r>
          </w:hyperlink>
        </w:p>
        <w:p>
          <w:pPr>
            <w:pStyle w:val="Normal"/>
            <w:rPr/>
          </w:pPr>
          <w:r>
            <w:rPr/>
            <w:t xml:space="preserve">    </w:t>
          </w:r>
          <w:r>
            <w:rPr/>
            <w:t>8.3. Самотата в третата възраст ………………………………………</w:t>
          </w:r>
        </w:p>
        <w:p>
          <w:pPr>
            <w:pStyle w:val="Contents1"/>
            <w:tabs>
              <w:tab w:val="clear" w:pos="8220"/>
              <w:tab w:val="right" w:pos="8647" w:leader="dot"/>
            </w:tabs>
            <w:rPr>
              <w:b w:val="false"/>
              <w:b w:val="false"/>
              <w:caps w:val="false"/>
              <w:smallCaps w:val="false"/>
              <w:sz w:val="22"/>
              <w:lang w:val="en-US" w:eastAsia="en-US"/>
            </w:rPr>
          </w:pPr>
          <w:r>
            <w:rPr>
              <w:sz w:val="26"/>
              <w:lang w:val="en-US" w:eastAsia="en-US"/>
            </w:rPr>
            <w:t>ДЕВЕТА ТЕМА</w:t>
            <w:br/>
            <w:t>СОЦИАЛНО-ПРАКТИЧЕСКИ ОСНОВИ НА ГЕРАГОГИКАТА</w:t>
            <w:tab/>
          </w:r>
          <w:hyperlink w:anchor="__RefHeading___Toc89859695">
            <w:r>
              <w:rPr>
                <w:rStyle w:val="IndexLink"/>
                <w:sz w:val="26"/>
                <w:lang w:val="en-US" w:eastAsia="en-US"/>
              </w:rPr>
              <w:t>215</w:t>
            </w:r>
          </w:hyperlink>
        </w:p>
        <w:p>
          <w:pPr>
            <w:pStyle w:val="Contents2"/>
            <w:tabs>
              <w:tab w:val="clear" w:pos="8222"/>
              <w:tab w:val="right" w:pos="8647" w:leader="dot"/>
            </w:tabs>
            <w:rPr>
              <w:b w:val="false"/>
              <w:b w:val="false"/>
              <w:caps w:val="false"/>
              <w:smallCaps w:val="false"/>
              <w:sz w:val="22"/>
              <w:lang w:val="en-US" w:eastAsia="en-US"/>
            </w:rPr>
          </w:pPr>
          <w:r>
            <w:rPr>
              <w:sz w:val="24"/>
              <w:lang w:val="en-US" w:eastAsia="en-US"/>
            </w:rPr>
            <w:t>9.1. Необходимост от подготовка за старостта</w:t>
            <w:tab/>
          </w:r>
          <w:hyperlink w:anchor="__RefHeading___Toc89859696">
            <w:r>
              <w:rPr>
                <w:rStyle w:val="IndexLink"/>
                <w:sz w:val="24"/>
                <w:lang w:val="en-US" w:eastAsia="en-US"/>
              </w:rPr>
              <w:t>215</w:t>
            </w:r>
          </w:hyperlink>
        </w:p>
        <w:p>
          <w:pPr>
            <w:pStyle w:val="Contents2"/>
            <w:tabs>
              <w:tab w:val="clear" w:pos="8222"/>
              <w:tab w:val="right" w:pos="8647" w:leader="dot"/>
            </w:tabs>
            <w:rPr>
              <w:b w:val="false"/>
              <w:b w:val="false"/>
              <w:caps w:val="false"/>
              <w:smallCaps w:val="false"/>
              <w:sz w:val="22"/>
              <w:lang w:val="en-US" w:eastAsia="en-US"/>
            </w:rPr>
          </w:pPr>
          <w:r>
            <w:rPr>
              <w:sz w:val="24"/>
              <w:lang w:val="en-US" w:eastAsia="en-US"/>
            </w:rPr>
            <w:t xml:space="preserve">9.2. Пенсионирането и някои произтичащи от него промени </w:t>
            <w:br/>
            <w:t>в живота на човека</w:t>
            <w:tab/>
          </w:r>
          <w:hyperlink w:anchor="__RefHeading___Toc89859697">
            <w:r>
              <w:rPr>
                <w:rStyle w:val="IndexLink"/>
                <w:sz w:val="24"/>
                <w:lang w:val="en-US" w:eastAsia="en-US"/>
              </w:rPr>
              <w:t>218</w:t>
            </w:r>
          </w:hyperlink>
        </w:p>
        <w:p>
          <w:pPr>
            <w:pStyle w:val="Contents2"/>
            <w:tabs>
              <w:tab w:val="clear" w:pos="8222"/>
              <w:tab w:val="right" w:pos="8647" w:leader="dot"/>
            </w:tabs>
            <w:rPr>
              <w:b w:val="false"/>
              <w:b w:val="false"/>
              <w:caps w:val="false"/>
              <w:smallCaps w:val="false"/>
              <w:sz w:val="22"/>
              <w:lang w:val="en-US" w:eastAsia="en-US"/>
            </w:rPr>
          </w:pPr>
          <w:r>
            <w:rPr>
              <w:sz w:val="24"/>
              <w:lang w:val="en-US" w:eastAsia="en-US"/>
            </w:rPr>
            <w:t xml:space="preserve">9.3. Основни звена и  форми за социални услуги  на хората </w:t>
            <w:br/>
            <w:t>от третата възраст</w:t>
            <w:tab/>
          </w:r>
          <w:hyperlink w:anchor="__RefHeading___Toc89859698">
            <w:r>
              <w:rPr>
                <w:rStyle w:val="IndexLink"/>
                <w:sz w:val="24"/>
                <w:lang w:val="en-US" w:eastAsia="en-US"/>
              </w:rPr>
              <w:t>231</w:t>
            </w:r>
          </w:hyperlink>
        </w:p>
        <w:p>
          <w:pPr>
            <w:pStyle w:val="Contents2"/>
            <w:tabs>
              <w:tab w:val="clear" w:pos="8222"/>
              <w:tab w:val="right" w:pos="8647" w:leader="dot"/>
            </w:tabs>
            <w:rPr>
              <w:sz w:val="24"/>
              <w:lang w:val="en-US" w:eastAsia="en-US"/>
            </w:rPr>
          </w:pPr>
          <w:r>
            <w:rPr>
              <w:sz w:val="24"/>
              <w:lang w:val="en-US" w:eastAsia="en-US"/>
            </w:rPr>
            <w:t xml:space="preserve">9.4.  Ученето през целия живот – важен фактор за интеграцията </w:t>
            <w:br/>
            <w:t>на хората от третата възраст</w:t>
            <w:tab/>
          </w:r>
          <w:hyperlink w:anchor="__RefHeading___Toc89859699">
            <w:r>
              <w:rPr>
                <w:rStyle w:val="IndexLink"/>
                <w:sz w:val="24"/>
                <w:lang w:val="en-US" w:eastAsia="en-US"/>
              </w:rPr>
              <w:t>242</w:t>
            </w:r>
          </w:hyperlink>
        </w:p>
        <w:p>
          <w:pPr>
            <w:pStyle w:val="Normal"/>
            <w:rPr/>
          </w:pPr>
          <w:r>
            <w:rPr/>
            <w:t xml:space="preserve">    </w:t>
          </w:r>
          <w:r>
            <w:rPr/>
            <w:t>9.5. Социално-герагогически грижи за лица с демеция ………….</w:t>
          </w:r>
        </w:p>
        <w:p>
          <w:pPr>
            <w:pStyle w:val="Contents1"/>
            <w:tabs>
              <w:tab w:val="clear" w:pos="8220"/>
              <w:tab w:val="right" w:pos="8647" w:leader="dot"/>
            </w:tabs>
            <w:rPr>
              <w:sz w:val="26"/>
              <w:lang w:val="en-US" w:eastAsia="en-US"/>
            </w:rPr>
          </w:pPr>
          <w:r>
            <w:rPr>
              <w:sz w:val="26"/>
              <w:lang w:val="en-US" w:eastAsia="en-US"/>
            </w:rPr>
            <w:t>Литература</w:t>
            <w:tab/>
          </w:r>
          <w:hyperlink w:anchor="__RefHeading___Toc89859701">
            <w:r>
              <w:rPr>
                <w:rStyle w:val="IndexLink"/>
                <w:sz w:val="26"/>
                <w:lang w:val="en-US" w:eastAsia="en-US"/>
              </w:rPr>
              <w:t>264</w:t>
            </w:r>
          </w:hyperlink>
        </w:p>
        <w:p>
          <w:pPr>
            <w:pStyle w:val="Contents1"/>
            <w:tabs>
              <w:tab w:val="clear" w:pos="8220"/>
              <w:tab w:val="right" w:pos="8647" w:leader="dot"/>
            </w:tabs>
            <w:rPr>
              <w:b w:val="false"/>
              <w:b w:val="false"/>
              <w:caps w:val="false"/>
              <w:smallCaps w:val="false"/>
              <w:sz w:val="22"/>
              <w:lang w:val="en-US" w:eastAsia="en-US"/>
            </w:rPr>
          </w:pPr>
          <w:r>
            <w:rPr>
              <w:sz w:val="26"/>
              <w:lang w:val="en-US" w:eastAsia="en-US"/>
            </w:rPr>
            <w:t>Приложения</w:t>
            <w:tab/>
          </w:r>
          <w:hyperlink w:anchor="__RefHeading___Toc89859700">
            <w:r>
              <w:rPr>
                <w:rStyle w:val="IndexLink"/>
                <w:sz w:val="26"/>
                <w:lang w:val="en-US" w:eastAsia="en-US"/>
              </w:rPr>
              <w:t>269</w:t>
            </w:r>
          </w:hyperlink>
        </w:p>
        <w:p>
          <w:pPr>
            <w:pStyle w:val="Normal"/>
            <w:rPr>
              <w:b/>
              <w:b/>
              <w:caps/>
              <w:sz w:val="22"/>
              <w:lang w:val="en-US" w:eastAsia="en-US"/>
            </w:rPr>
          </w:pPr>
          <w:r>
            <w:rPr>
              <w:b/>
              <w:caps/>
              <w:sz w:val="22"/>
              <w:lang w:val="en-US" w:eastAsia="en-US"/>
            </w:rPr>
          </w:r>
          <w:r>
            <w:rPr>
              <w:caps/>
              <w:sz w:val="22"/>
              <w:b/>
              <w:lang w:val="en-US" w:eastAsia="en-US"/>
            </w:rPr>
            <w:fldChar w:fldCharType="end"/>
          </w:r>
        </w:p>
      </w:sdtContent>
    </w:sdt>
    <w:p>
      <w:pPr>
        <w:pStyle w:val="NormalText"/>
        <w:tabs>
          <w:tab w:val="clear" w:pos="284"/>
          <w:tab w:val="right" w:pos="8647" w:leader="dot"/>
        </w:tabs>
        <w:rPr>
          <w:sz w:val="26"/>
          <w:lang w:val="en-US"/>
        </w:rPr>
      </w:pPr>
      <w:r>
        <w:rPr>
          <w:sz w:val="26"/>
          <w:lang w:val="en-US"/>
        </w:rPr>
      </w:r>
    </w:p>
    <w:p>
      <w:pPr>
        <w:pStyle w:val="Heading1"/>
        <w:rPr/>
      </w:pPr>
      <w:bookmarkStart w:id="0" w:name="__RefHeading___Toc89859661"/>
      <w:bookmarkEnd w:id="0"/>
      <w:r>
        <w:rPr/>
        <w:t>ПРЕДГОВОР</w:t>
      </w:r>
    </w:p>
    <w:p>
      <w:pPr>
        <w:pStyle w:val="NormalText"/>
        <w:rPr/>
      </w:pPr>
      <w:r>
        <w:rPr/>
        <w:t xml:space="preserve">Разработването  на проблемите на герагогиката, особено през последните години, стана  много актуално. И това не е случайно. Науките, изучаващи човека, постигнаха значими успехи, което позволи  да бъдат разкрити най-съществените закономерности в неговото онтогенетично  развитие. В това отношение все още обаче остават недостатъчно изяснени проблемите, възникващи през периода на геронтогенеза. Повишеният изследователски интерес към този последен етап от живота на човека  е резултат преди всичко  на относително нарастващия брой на старите хора в социално-демографската структура на съвременното общество.  В наше време  все по-остро се поставя въпросът за ролята и мястото на хората от “третата възраст”, както и за отношението към тях от страна  на по-младите поколения.  </w:t>
      </w:r>
    </w:p>
    <w:p>
      <w:pPr>
        <w:pStyle w:val="NormalText"/>
        <w:rPr/>
      </w:pPr>
      <w:r>
        <w:rPr/>
        <w:t xml:space="preserve">Проблемите на старостта и стареенето се изучават от редица науки: биология, медицина, социология, геронтология, психология (геронтопсихология) и др. Техните успехи са важна предпоставка за обособяване на герагогиката като относително самостоятелна  наука.  Нейната основна задача  е, като се опира на постиженията на всички науки от областта на човекознанието,  да очертае най-важните  предпоставки, условия и фактори, които благоприятстват за психофизиологическото здраве и за  дълголетието на хората от третата възраст. Несъмнено, само върху тази основа ще бъде възможно максимално да се оползотворят техните сили и възможности за благото на цялото общество и за собственото им благо. </w:t>
      </w:r>
    </w:p>
    <w:p>
      <w:pPr>
        <w:pStyle w:val="NormalText"/>
        <w:rPr/>
      </w:pPr>
      <w:r>
        <w:rPr/>
        <w:t xml:space="preserve">Настоящето учебно пособие представлява основен лекционен курс, който авторът чете в продължение на няколко години пред студентите по социална педагогика в Софийския университет “Св. Кл. Охридски”. Дългогодишният му опит на университетски преподавател свидетелства, че изучаването на теоретичната  проблематика на базата на воденето на записки от студентите по време на лекциите не е много продуктивно и рационално. Едва ли може да се разчита  и само на тяхната самостоятелна подготовка на базата на препоръчвана им литература. Поради това авторът “се осмели” да издаде това помагало. Като първо по рода си у нас, то безспорно не е лишено от пропуски и слабости. Поради това с благодарност ще бъдат приети всички препоръки и предложения за по-нататъшното подобряване на изложението на герагогическата проблематика. </w:t>
      </w:r>
    </w:p>
    <w:p>
      <w:pPr>
        <w:pStyle w:val="NormalText"/>
        <w:rPr/>
      </w:pPr>
      <w:r>
        <w:rPr/>
      </w:r>
    </w:p>
    <w:p>
      <w:pPr>
        <w:pStyle w:val="NormalText"/>
        <w:jc w:val="right"/>
        <w:rPr/>
      </w:pPr>
      <w:r>
        <w:rPr/>
        <w:t xml:space="preserve">                            </w:t>
      </w:r>
      <w:r>
        <w:rPr/>
        <w:t>Авторът</w:t>
      </w:r>
    </w:p>
    <w:p>
      <w:pPr>
        <w:pStyle w:val="Heading1"/>
        <w:rPr>
          <w:lang w:val="en-US"/>
        </w:rPr>
      </w:pPr>
      <w:r>
        <w:rPr>
          <w:lang w:val="en-US"/>
        </w:rPr>
      </w:r>
    </w:p>
    <w:p>
      <w:pPr>
        <w:pStyle w:val="Heading1"/>
        <w:rPr/>
      </w:pPr>
      <w:bookmarkStart w:id="1" w:name="__RefHeading___Toc89859662"/>
      <w:r>
        <w:rPr/>
        <w:t>ПЪРВА ТЕМА</w:t>
        <w:br/>
        <w:t>НАУЧНИЯТ СТАТУТ НА ГЕРАГОГИКАТА</w:t>
      </w:r>
      <w:bookmarkEnd w:id="1"/>
      <w:r>
        <w:rPr/>
        <w:t xml:space="preserve"> </w:t>
      </w:r>
    </w:p>
    <w:p>
      <w:pPr>
        <w:pStyle w:val="Heading2"/>
        <w:rPr>
          <w:lang w:val="bg-BG"/>
        </w:rPr>
      </w:pPr>
      <w:bookmarkStart w:id="2" w:name="__RefHeading___Toc89859663"/>
      <w:bookmarkEnd w:id="2"/>
      <w:r>
        <w:rPr>
          <w:lang w:val="bg-BG"/>
        </w:rPr>
        <w:t>1.1. Герагогиката в системата на научното познание</w:t>
      </w:r>
    </w:p>
    <w:p>
      <w:pPr>
        <w:pStyle w:val="Heading3"/>
        <w:jc w:val="both"/>
        <w:rPr/>
      </w:pPr>
      <w:r>
        <w:rPr>
          <w:b w:val="false"/>
          <w:lang w:val="bg-BG"/>
        </w:rPr>
        <w:t xml:space="preserve">Изминалият двадесети век, най-вече втората му половина,се характеризира със засилената   </w:t>
      </w:r>
      <w:r>
        <w:rPr>
          <w:lang w:val="bg-BG"/>
        </w:rPr>
        <w:t>диференциация на научното познание</w:t>
      </w:r>
      <w:r>
        <w:rPr>
          <w:b w:val="false"/>
          <w:lang w:val="bg-BG"/>
        </w:rPr>
        <w:t xml:space="preserve">, с твърде голямото раздробяване на фундаменталните научни области. Тези процеси се наблюдават и в системата на педагогическото знание. Наред с фундаменталните педагогически науки (дидактика, теория на възпитанието, сравнителна педагогика, история на педагогиката, специална педагогика и пр.) значителни успехи постигнаха такива по-нови дисциплини като социална педагогика,  философия на образованието, организация и управление на образованието, педагогическа антропология, педагогическа аксиология, мултикултурална педагогика, педагогическа валеология,  различните технологично профилирани педагогики, образователни технологии и др. </w:t>
      </w:r>
    </w:p>
    <w:p>
      <w:pPr>
        <w:pStyle w:val="Heading3"/>
        <w:jc w:val="both"/>
        <w:rPr/>
      </w:pPr>
      <w:r>
        <w:rPr>
          <w:b w:val="false"/>
          <w:lang w:val="bg-BG"/>
        </w:rPr>
        <w:t xml:space="preserve">С много бързи темпове се развива и глобалната наука за образованието на възрастните – </w:t>
      </w:r>
      <w:r>
        <w:rPr>
          <w:lang w:val="bg-BG"/>
        </w:rPr>
        <w:t>андрагогиката.</w:t>
      </w:r>
      <w:r>
        <w:rPr>
          <w:b w:val="false"/>
          <w:lang w:val="bg-BG"/>
        </w:rPr>
        <w:t xml:space="preserve"> И това не е случайно. В съвременни условия образованието  се превръща в широко разгърната система, която обхваща практически всички хора през целия им живот. Значително се разширяват социалните функции на образованието, нараства ролята му като културизиращ фактор. Световните глобализационни процеси – икономически, политически, информационни и пр., както и тенденцията за хуманизация на обществото поставят пред образованието все нови и нови предизвикателства. Приоритетните ценности на човечеството рефлектират пряко в съдържанието, методите и формите на образованието, в превръщането му в перманентен процес. Концепцията за перманентно-интегралното образование, за учещото се общество все повече се утвърждава като водеща концепция, която стимулира положителна мотивация за учене във всички възрасти, благоприятства за формиране и усъвършенстване на способността за самостоятелно учене и за продължаване на ученето. </w:t>
      </w:r>
    </w:p>
    <w:p>
      <w:pPr>
        <w:pStyle w:val="Heading3"/>
        <w:jc w:val="both"/>
        <w:rPr/>
      </w:pPr>
      <w:r>
        <w:rPr>
          <w:b w:val="false"/>
          <w:lang w:val="bg-BG"/>
        </w:rPr>
        <w:t xml:space="preserve">Самото понятие </w:t>
      </w:r>
      <w:r>
        <w:rPr>
          <w:lang w:val="bg-BG"/>
        </w:rPr>
        <w:t>“образование на възрастни”</w:t>
      </w:r>
      <w:r>
        <w:rPr>
          <w:b w:val="false"/>
          <w:lang w:val="bg-BG"/>
        </w:rPr>
        <w:t xml:space="preserve"> обаче все още няма строго регламентирано съдържание. Едни автори в това понятие включват  главно или само неформалното образование (учене), информалното (паралелното) образование (учене) и т.нар. инцидентно учене, докато други влагат по-широк смисъл, като   не изключват различните видове формално (институционално) образование за тези лица. С основание се смята, че проблемът е не да се противопоставят или изключват различните типове и видове образование и учене, а как да се интегрират те, така че взаимно да се подпомагат и допълват. </w:t>
      </w:r>
    </w:p>
    <w:p>
      <w:pPr>
        <w:pStyle w:val="Heading3"/>
        <w:jc w:val="both"/>
        <w:rPr/>
      </w:pPr>
      <w:r>
        <w:rPr>
          <w:b w:val="false"/>
          <w:lang w:val="bg-BG"/>
        </w:rPr>
        <w:t xml:space="preserve">Образованието на възрастните е един от основните механизми за развитие на </w:t>
      </w:r>
      <w:r>
        <w:rPr>
          <w:lang w:val="bg-BG"/>
        </w:rPr>
        <w:t>човешкия фактор</w:t>
      </w:r>
      <w:r>
        <w:rPr>
          <w:b w:val="false"/>
          <w:lang w:val="bg-BG"/>
        </w:rPr>
        <w:t xml:space="preserve"> (на човешките ресурси). То е не само право, а и задължение и отговорност спрямо другите и обществото. В условията на глобална пазарна икономика това образование е важна предпоставка за адекватно приспособяване на всеки човек към динамично променящите се производства, за борба с безработицата, за преодоляване на неграмотността,  за поемане на инициатива и отговорност, за успешно справяне с проблемите със собствени сили и средства. Приоритетното развитие на човешкия фактор в съвременни условия се свързва с концепцията за “учещото се общество”, с осигуряването на реални възможности на всички да се учат и да развиват своите потенциални възможности.</w:t>
      </w:r>
    </w:p>
    <w:p>
      <w:pPr>
        <w:pStyle w:val="Heading3"/>
        <w:jc w:val="both"/>
        <w:rPr/>
      </w:pPr>
      <w:r>
        <w:rPr>
          <w:b w:val="false"/>
          <w:lang w:val="bg-BG"/>
        </w:rPr>
        <w:t xml:space="preserve">Андрагогиката като сравнително </w:t>
      </w:r>
      <w:r>
        <w:rPr>
          <w:lang w:val="bg-BG"/>
        </w:rPr>
        <w:t>нова наука</w:t>
      </w:r>
      <w:r>
        <w:rPr>
          <w:b w:val="false"/>
          <w:lang w:val="bg-BG"/>
        </w:rPr>
        <w:t xml:space="preserve"> за образованието и обучението на възрастните вече придоби гражданственост не само в САЩ и развитите западноевропейски страни, а и у нас. Според някои автори системата на андрагогическите поддисциплини включва: базовата андрагогика, андрагогическата дидактика, сравнителната андрагогика, промишлената андрагогика, военната андрагогика, социалната андрагогика, пенологичната андрагогика, семейната андрагогика, геронтологичната андрагогика, специалната андрагогика, социологията на образованието на възрастните, психопедагогиката на възрастни (или андрагогическата психология) (17, с. 147-148). Наистина у нас  такава </w:t>
      </w:r>
      <w:r>
        <w:rPr>
          <w:lang w:val="bg-BG"/>
        </w:rPr>
        <w:t>диференцирана система</w:t>
      </w:r>
      <w:r>
        <w:rPr>
          <w:b w:val="false"/>
          <w:lang w:val="bg-BG"/>
        </w:rPr>
        <w:t xml:space="preserve">  от андрагогически дисциплини  все още не е изградена изцяло. И това е напълно “разбираемо”, като се има предвид, че тази проблематика до неотдавна беше много подценявана. В много наши университети студентите от специалностите “социална педагогика” и “социални дейности” изучават  само дисциплините андрагогика и герагогика.  </w:t>
      </w:r>
    </w:p>
    <w:p>
      <w:pPr>
        <w:pStyle w:val="Heading3"/>
        <w:jc w:val="both"/>
        <w:rPr/>
      </w:pPr>
      <w:r>
        <w:rPr>
          <w:b w:val="false"/>
          <w:lang w:val="bg-BG"/>
        </w:rPr>
        <w:t xml:space="preserve">Според нас  има достатъчно   основания за обособяване на </w:t>
      </w:r>
      <w:r>
        <w:rPr>
          <w:lang w:val="bg-BG"/>
        </w:rPr>
        <w:t xml:space="preserve">герагогиката </w:t>
      </w:r>
      <w:r>
        <w:rPr>
          <w:b w:val="false"/>
          <w:lang w:val="bg-BG"/>
        </w:rPr>
        <w:t xml:space="preserve"> в относително самостоятелна наука. Тя разглежда проблемите на образованието на хората от т.нар. </w:t>
      </w:r>
      <w:r>
        <w:rPr>
          <w:i/>
          <w:lang w:val="bg-BG"/>
        </w:rPr>
        <w:t>“трета възраст”,</w:t>
      </w:r>
      <w:r>
        <w:rPr>
          <w:b w:val="false"/>
          <w:lang w:val="bg-BG"/>
        </w:rPr>
        <w:t xml:space="preserve"> както и механизмите на  влиянието на процесите на стареенето върху способностите на тези лица да учат и да живеят пълноценен живот.  Както отбелязва проф. Г. </w:t>
      </w:r>
      <w:r>
        <w:rPr>
          <w:lang w:val="bg-BG"/>
        </w:rPr>
        <w:t>Йолов,</w:t>
      </w:r>
      <w:r>
        <w:rPr>
          <w:b w:val="false"/>
          <w:lang w:val="bg-BG"/>
        </w:rPr>
        <w:t xml:space="preserve"> “все пак спорът около възрастните хора продължава да се води, въпреки че в наши дни става все по-безпредметен. Държи ли се обаче достатъчно сметка за факта, че за всяка възраст на човека съществуват съответни равнища на трудова и обществено-политическа дейност, на взаимодействие с другите, става ясно, че “третата възраст” не е само по-лоша, но и с редица силни страни и преимущества…Да се изгради концепция за възрастните хора е крайно необходимо, защото чрез нея ще се улесни процесът на обогатяване на личността през късните периоди на съществуването ù. Заедно с това ще се повиши нейната свързаност с другите възрастови групи на обществото(24, с.5-6). </w:t>
      </w:r>
    </w:p>
    <w:p>
      <w:pPr>
        <w:pStyle w:val="Heading2"/>
        <w:rPr>
          <w:lang w:val="bg-BG"/>
        </w:rPr>
      </w:pPr>
      <w:bookmarkStart w:id="3" w:name="__RefHeading___Toc89859664"/>
      <w:r>
        <w:rPr>
          <w:lang w:val="bg-BG"/>
        </w:rPr>
        <w:t>1.2. Предмет и задачи на герагогиката</w:t>
      </w:r>
      <w:bookmarkEnd w:id="3"/>
      <w:r>
        <w:rPr>
          <w:lang w:val="bg-BG"/>
        </w:rPr>
        <w:t xml:space="preserve"> </w:t>
      </w:r>
    </w:p>
    <w:p>
      <w:pPr>
        <w:pStyle w:val="Heading3"/>
        <w:jc w:val="both"/>
        <w:rPr/>
      </w:pPr>
      <w:r>
        <w:rPr>
          <w:b w:val="false"/>
          <w:lang w:val="bg-BG"/>
        </w:rPr>
        <w:t xml:space="preserve">Въпросът за </w:t>
      </w:r>
      <w:r>
        <w:rPr>
          <w:lang w:val="bg-BG"/>
        </w:rPr>
        <w:t>предмета</w:t>
      </w:r>
      <w:r>
        <w:rPr>
          <w:b w:val="false"/>
          <w:lang w:val="bg-BG"/>
        </w:rPr>
        <w:t xml:space="preserve"> на която и да е наука е от изключителна важност, тъй като от неговото точно дефиниране до голяма степен зависи нейното по-нататъшно развитие в теоретичен и практико-приложен план. Това положение особено  важи за новоформиращите  се науки, една от които безспорно е герагогиката. В етимологичен смисъл наименованието “</w:t>
      </w:r>
      <w:r>
        <w:rPr>
          <w:lang w:val="bg-BG"/>
        </w:rPr>
        <w:t>герагогика</w:t>
      </w:r>
      <w:r>
        <w:rPr>
          <w:b w:val="false"/>
          <w:lang w:val="bg-BG"/>
        </w:rPr>
        <w:t>” произлиза от гръцките думи  “</w:t>
      </w:r>
      <w:r>
        <w:rPr>
          <w:lang w:val="bg-BG"/>
        </w:rPr>
        <w:t>geras</w:t>
      </w:r>
      <w:r>
        <w:rPr>
          <w:b w:val="false"/>
          <w:lang w:val="bg-BG"/>
        </w:rPr>
        <w:t>”(стар човек); “</w:t>
      </w:r>
      <w:r>
        <w:rPr>
          <w:lang w:val="bg-BG"/>
        </w:rPr>
        <w:t>gerist</w:t>
      </w:r>
      <w:r>
        <w:rPr>
          <w:b w:val="false"/>
          <w:lang w:val="bg-BG"/>
        </w:rPr>
        <w:t>” (стареещ)  и “</w:t>
      </w:r>
      <w:r>
        <w:rPr>
          <w:lang w:val="bg-BG"/>
        </w:rPr>
        <w:t>agoge</w:t>
      </w:r>
      <w:r>
        <w:rPr>
          <w:b w:val="false"/>
          <w:lang w:val="bg-BG"/>
        </w:rPr>
        <w:t>” (водя). Някои автори предпочитат термина “</w:t>
      </w:r>
      <w:r>
        <w:rPr>
          <w:lang w:val="bg-BG"/>
        </w:rPr>
        <w:t>геронтогогика</w:t>
      </w:r>
      <w:r>
        <w:rPr>
          <w:b w:val="false"/>
          <w:lang w:val="bg-BG"/>
        </w:rPr>
        <w:t>” (от “</w:t>
      </w:r>
      <w:r>
        <w:rPr>
          <w:lang w:val="bg-BG"/>
        </w:rPr>
        <w:t>geront</w:t>
      </w:r>
      <w:r>
        <w:rPr>
          <w:b w:val="false"/>
          <w:lang w:val="bg-BG"/>
        </w:rPr>
        <w:t>” – стар гражданин, а в по-широк смисъл – старец. Терминът се отнася обаче само за мъже, докато “</w:t>
      </w:r>
      <w:r>
        <w:rPr>
          <w:lang w:val="bg-BG"/>
        </w:rPr>
        <w:t>graus</w:t>
      </w:r>
      <w:r>
        <w:rPr>
          <w:b w:val="false"/>
          <w:lang w:val="bg-BG"/>
        </w:rPr>
        <w:t>”означава стара жена, а “</w:t>
      </w:r>
      <w:r>
        <w:rPr>
          <w:lang w:val="bg-BG"/>
        </w:rPr>
        <w:t>gerist</w:t>
      </w:r>
      <w:r>
        <w:rPr>
          <w:b w:val="false"/>
          <w:lang w:val="bg-BG"/>
        </w:rPr>
        <w:t>” се използва за лица от двата пола). Правилното определяне на предмета на герагогиката позволява да се очертае кръгът и съдържанието на основните нейни задачи, мястото й в системата на научното познание. С основание може да се твърди, че определянето на предмета на която и да е наука има конкретно-исторически характер, тъй като адекватното разкриване на нейната съдържателна проблематика е възможно само в  широкия контекст на общото състояние на научното знание.</w:t>
      </w:r>
    </w:p>
    <w:p>
      <w:pPr>
        <w:pStyle w:val="Heading3"/>
        <w:jc w:val="both"/>
        <w:rPr/>
      </w:pPr>
      <w:r>
        <w:rPr>
          <w:b w:val="false"/>
          <w:lang w:val="bg-BG"/>
        </w:rPr>
        <w:t xml:space="preserve">На пръв поглед да се  определи </w:t>
      </w:r>
      <w:r>
        <w:rPr>
          <w:lang w:val="bg-BG"/>
        </w:rPr>
        <w:t>предметът</w:t>
      </w:r>
      <w:r>
        <w:rPr>
          <w:b w:val="false"/>
          <w:lang w:val="bg-BG"/>
        </w:rPr>
        <w:t xml:space="preserve"> на </w:t>
      </w:r>
      <w:r>
        <w:rPr>
          <w:lang w:val="bg-BG"/>
        </w:rPr>
        <w:t>герагогиката</w:t>
      </w:r>
      <w:r>
        <w:rPr>
          <w:b w:val="false"/>
          <w:lang w:val="bg-BG"/>
        </w:rPr>
        <w:t xml:space="preserve"> не би трябвало да представлява трудност, тъй като тя, както и андрагогиката, има за обект на изследване възрастните хора. “Най-често андрагогиката се определя като наука за образованието и възпитанието (или превъзпитанието) на възрастните. Немалко автори обаче я разглеждат като наука за образованието на възрастните, като система от теории и подходи за тяхното обучение и учене. Едно от основанията за това схващане е, че в андрагогическата проблематика все още не е обособена специализирана теория за възпитанието (или превъзпитанието) на възрастните. Това, разбира се, съвсем не означава, че се подценяват възпитателните функции на образователната дейност, осъществявана с възрастните учащи се. Друго, не по-малко важно основание е, че на въпросите, засягащи специфичните особености на възпитателната работа с възрастните, се отделя все по-голямо внимание в трудовете по социална педагогика”(37,с.14). </w:t>
      </w:r>
    </w:p>
    <w:p>
      <w:pPr>
        <w:pStyle w:val="Heading3"/>
        <w:jc w:val="both"/>
        <w:rPr/>
      </w:pPr>
      <w:r>
        <w:rPr>
          <w:b w:val="false"/>
          <w:lang w:val="bg-BG"/>
        </w:rPr>
        <w:t xml:space="preserve">От приведения цитат става ясно, че независимо от това, че обикновено в предмета на  андрагогиката в широк смисъл на думата се включва образованието и възпитанието на възрастните, </w:t>
      </w:r>
      <w:r>
        <w:rPr>
          <w:lang w:val="bg-BG"/>
        </w:rPr>
        <w:t>акцентът</w:t>
      </w:r>
      <w:r>
        <w:rPr>
          <w:b w:val="false"/>
          <w:lang w:val="bg-BG"/>
        </w:rPr>
        <w:t xml:space="preserve"> се поставя главно върху тяхното образование, обучение и самообразование. Основанията за такова ограничение са, че за хората в т.нар. зряла възраст може да се твърди, че това наистина са най-важните фактори за тяхното професионално-личностно развитие и кариерно усъвършенстване. Още повече, че възпитателната проблематика е “патент” предимно на училищната педагогика и на социалната педагогика. Широко разпространено е схващането, че лицата  в зряла възраст  (с малки изключения) обикновено са достатъчно добре възпитани, поради което главното внимание трябва да бъде насочено към тяхното по-нататъшно образование и самообразование с оглед на по-адекватното им приспособяване към новите изисквания на трудовата дейност, която извършват.</w:t>
      </w:r>
    </w:p>
    <w:p>
      <w:pPr>
        <w:pStyle w:val="Heading3"/>
        <w:jc w:val="both"/>
        <w:rPr/>
      </w:pPr>
      <w:r>
        <w:rPr>
          <w:b w:val="false"/>
          <w:lang w:val="bg-BG"/>
        </w:rPr>
        <w:t>За хората от “</w:t>
      </w:r>
      <w:r>
        <w:rPr>
          <w:i/>
          <w:lang w:val="bg-BG"/>
        </w:rPr>
        <w:t>третата възраст</w:t>
      </w:r>
      <w:r>
        <w:rPr>
          <w:b w:val="false"/>
          <w:lang w:val="bg-BG"/>
        </w:rPr>
        <w:t xml:space="preserve">” обаче нещата стоят </w:t>
      </w:r>
      <w:r>
        <w:rPr>
          <w:lang w:val="bg-BG"/>
        </w:rPr>
        <w:t>по-другояче</w:t>
      </w:r>
      <w:r>
        <w:rPr>
          <w:b w:val="false"/>
          <w:lang w:val="bg-BG"/>
        </w:rPr>
        <w:t xml:space="preserve">. За по-голямата част от тях трудовата дейност вече е приключила или предстои твърде скоро  да приключи. Постепенно проблемите, свързани с по-нататъшното им образование и самообразование за повишаване на професионалната им компетентност и издигане на общокултурното им равнище започват да отстъпват на заден план.  Първостепенно значение започват да имат  </w:t>
      </w:r>
      <w:r>
        <w:rPr>
          <w:i/>
          <w:lang w:val="bg-BG"/>
        </w:rPr>
        <w:t>проблемите, свързани с</w:t>
      </w:r>
      <w:r>
        <w:rPr>
          <w:b w:val="false"/>
          <w:lang w:val="bg-BG"/>
        </w:rPr>
        <w:t xml:space="preserve"> </w:t>
      </w:r>
      <w:r>
        <w:rPr>
          <w:i/>
          <w:lang w:val="bg-BG"/>
        </w:rPr>
        <w:t>приспособяването им към  промените</w:t>
      </w:r>
      <w:r>
        <w:rPr>
          <w:b w:val="false"/>
          <w:lang w:val="bg-BG"/>
        </w:rPr>
        <w:t xml:space="preserve">, настъпили след излизането им в пенсия, с  прекратяването на извършваната от тях  трудова дейност.  Особена важност придобиват проблемите, отнасящи се до </w:t>
      </w:r>
      <w:r>
        <w:rPr>
          <w:i/>
          <w:lang w:val="bg-BG"/>
        </w:rPr>
        <w:t>здравословния им  начин и стил  на</w:t>
      </w:r>
      <w:r>
        <w:rPr>
          <w:lang w:val="bg-BG"/>
        </w:rPr>
        <w:t xml:space="preserve"> </w:t>
      </w:r>
      <w:r>
        <w:rPr>
          <w:i/>
          <w:lang w:val="bg-BG"/>
        </w:rPr>
        <w:t>живот</w:t>
      </w:r>
      <w:r>
        <w:rPr>
          <w:lang w:val="bg-BG"/>
        </w:rPr>
        <w:t>.</w:t>
      </w:r>
      <w:r>
        <w:rPr>
          <w:b w:val="false"/>
          <w:lang w:val="bg-BG"/>
        </w:rPr>
        <w:t xml:space="preserve"> С други думи, т. нар. “</w:t>
      </w:r>
      <w:r>
        <w:rPr>
          <w:i/>
          <w:lang w:val="bg-BG"/>
        </w:rPr>
        <w:t>възпитателна”, здравно-хигиенна  проблематика</w:t>
      </w:r>
      <w:r>
        <w:rPr>
          <w:b w:val="false"/>
          <w:lang w:val="bg-BG"/>
        </w:rPr>
        <w:t xml:space="preserve"> в герагогиката става все по-значима, все по-актуална. Тази проблематика много тясно се преплита с проблематиката на </w:t>
      </w:r>
      <w:r>
        <w:rPr>
          <w:i/>
          <w:lang w:val="bg-BG"/>
        </w:rPr>
        <w:t>социалната педагогика</w:t>
      </w:r>
      <w:r>
        <w:rPr>
          <w:b w:val="false"/>
          <w:lang w:val="bg-BG"/>
        </w:rPr>
        <w:t xml:space="preserve">, на </w:t>
      </w:r>
      <w:r>
        <w:rPr>
          <w:i/>
          <w:lang w:val="bg-BG"/>
        </w:rPr>
        <w:t>социалната медицина</w:t>
      </w:r>
      <w:r>
        <w:rPr>
          <w:b w:val="false"/>
          <w:i/>
          <w:lang w:val="bg-BG"/>
        </w:rPr>
        <w:t>,</w:t>
      </w:r>
      <w:r>
        <w:rPr>
          <w:b w:val="false"/>
          <w:lang w:val="bg-BG"/>
        </w:rPr>
        <w:t xml:space="preserve"> на </w:t>
      </w:r>
      <w:r>
        <w:rPr>
          <w:i/>
          <w:lang w:val="bg-BG"/>
        </w:rPr>
        <w:t>геронтологията</w:t>
      </w:r>
      <w:r>
        <w:rPr>
          <w:b w:val="false"/>
          <w:lang w:val="bg-BG"/>
        </w:rPr>
        <w:t xml:space="preserve">, на </w:t>
      </w:r>
      <w:r>
        <w:rPr>
          <w:i/>
          <w:lang w:val="bg-BG"/>
        </w:rPr>
        <w:t>геронтопсихологията</w:t>
      </w:r>
      <w:r>
        <w:rPr>
          <w:b w:val="false"/>
          <w:lang w:val="bg-BG"/>
        </w:rPr>
        <w:t xml:space="preserve">,  на </w:t>
      </w:r>
      <w:r>
        <w:rPr>
          <w:i/>
          <w:lang w:val="bg-BG"/>
        </w:rPr>
        <w:t>гериатрията</w:t>
      </w:r>
      <w:r>
        <w:rPr>
          <w:lang w:val="bg-BG"/>
        </w:rPr>
        <w:t xml:space="preserve"> </w:t>
      </w:r>
      <w:r>
        <w:rPr>
          <w:b w:val="false"/>
          <w:lang w:val="bg-BG"/>
        </w:rPr>
        <w:t xml:space="preserve">и др. Старите хора се изучават и от редица други науки – </w:t>
      </w:r>
      <w:r>
        <w:rPr>
          <w:i/>
          <w:lang w:val="bg-BG"/>
        </w:rPr>
        <w:t>анатомия, физиология</w:t>
      </w:r>
      <w:r>
        <w:rPr>
          <w:b w:val="false"/>
          <w:lang w:val="bg-BG"/>
        </w:rPr>
        <w:t xml:space="preserve">, </w:t>
      </w:r>
      <w:r>
        <w:rPr>
          <w:i/>
          <w:lang w:val="bg-BG"/>
        </w:rPr>
        <w:t>социология, хигиена</w:t>
      </w:r>
      <w:r>
        <w:rPr>
          <w:b w:val="false"/>
          <w:lang w:val="bg-BG"/>
        </w:rPr>
        <w:t xml:space="preserve"> и пр. Всяка една от тези дисциплини има свой аспект на изследване  или предмет. </w:t>
      </w:r>
    </w:p>
    <w:p>
      <w:pPr>
        <w:pStyle w:val="Heading3"/>
        <w:jc w:val="both"/>
        <w:rPr/>
      </w:pPr>
      <w:r>
        <w:rPr>
          <w:b w:val="false"/>
          <w:lang w:val="bg-BG"/>
        </w:rPr>
        <w:t xml:space="preserve">Едно от основните методологически изисквания при определяне на предмета на която и да е наука е, че то трябва да включва в себе си не само изучаването на процесите и явленията, обект на науката, а и очакваните резултати, т.е. нейната крайна цел. В този смисъл </w:t>
      </w:r>
      <w:r>
        <w:rPr>
          <w:lang w:val="bg-BG"/>
        </w:rPr>
        <w:t>предмет</w:t>
      </w:r>
      <w:r>
        <w:rPr>
          <w:b w:val="false"/>
          <w:lang w:val="bg-BG"/>
        </w:rPr>
        <w:t xml:space="preserve"> на герагогиката са </w:t>
      </w:r>
      <w:r>
        <w:rPr>
          <w:i/>
          <w:lang w:val="bg-BG"/>
        </w:rPr>
        <w:t>основните предпоставки,</w:t>
      </w:r>
      <w:r>
        <w:rPr>
          <w:lang w:val="bg-BG"/>
        </w:rPr>
        <w:t xml:space="preserve"> </w:t>
      </w:r>
      <w:r>
        <w:rPr>
          <w:i/>
          <w:lang w:val="bg-BG"/>
        </w:rPr>
        <w:t>условията и</w:t>
      </w:r>
      <w:r>
        <w:rPr>
          <w:b w:val="false"/>
          <w:i/>
          <w:lang w:val="bg-BG"/>
        </w:rPr>
        <w:t xml:space="preserve"> </w:t>
      </w:r>
      <w:r>
        <w:rPr>
          <w:i/>
          <w:lang w:val="bg-BG"/>
        </w:rPr>
        <w:t>факторите</w:t>
      </w:r>
      <w:r>
        <w:rPr>
          <w:lang w:val="bg-BG"/>
        </w:rPr>
        <w:t>,</w:t>
      </w:r>
      <w:r>
        <w:rPr>
          <w:b w:val="false"/>
          <w:lang w:val="bg-BG"/>
        </w:rPr>
        <w:t xml:space="preserve"> които благоприятстват за </w:t>
      </w:r>
      <w:r>
        <w:rPr>
          <w:i/>
          <w:lang w:val="bg-BG"/>
        </w:rPr>
        <w:t>психофизиологическото здраве</w:t>
      </w:r>
      <w:r>
        <w:rPr>
          <w:b w:val="false"/>
          <w:lang w:val="bg-BG"/>
        </w:rPr>
        <w:t xml:space="preserve"> и за </w:t>
      </w:r>
      <w:r>
        <w:rPr>
          <w:i/>
          <w:lang w:val="bg-BG"/>
        </w:rPr>
        <w:t>дълголетието</w:t>
      </w:r>
      <w:r>
        <w:rPr>
          <w:b w:val="false"/>
          <w:lang w:val="bg-BG"/>
        </w:rPr>
        <w:t xml:space="preserve"> на хората от третата възраст. С основание може да се твърди, че герагогиката има </w:t>
      </w:r>
      <w:r>
        <w:rPr>
          <w:i/>
          <w:lang w:val="bg-BG"/>
        </w:rPr>
        <w:t>интегративен характер</w:t>
      </w:r>
      <w:r>
        <w:rPr>
          <w:b w:val="false"/>
          <w:lang w:val="bg-BG"/>
        </w:rPr>
        <w:t xml:space="preserve">, тъй като тя синтезира знания от изброените по-горе и редица други науки за осигуряване на здравословен стил и начин на живот на късните етапи на онтогенеза. </w:t>
      </w:r>
    </w:p>
    <w:p>
      <w:pPr>
        <w:pStyle w:val="Heading3"/>
        <w:jc w:val="both"/>
        <w:rPr/>
      </w:pPr>
      <w:r>
        <w:rPr>
          <w:b w:val="false"/>
          <w:lang w:val="bg-BG"/>
        </w:rPr>
        <w:t xml:space="preserve">Както изтъква проф. Л. </w:t>
      </w:r>
      <w:r>
        <w:rPr>
          <w:lang w:val="bg-BG"/>
        </w:rPr>
        <w:t>Георгиев</w:t>
      </w:r>
      <w:r>
        <w:rPr>
          <w:b w:val="false"/>
          <w:lang w:val="bg-BG"/>
        </w:rPr>
        <w:t xml:space="preserve">, “днес интересът към възрастните се увеличава по няколко причини: </w:t>
      </w:r>
    </w:p>
    <w:p>
      <w:pPr>
        <w:pStyle w:val="Heading3"/>
        <w:numPr>
          <w:ilvl w:val="0"/>
          <w:numId w:val="26"/>
        </w:numPr>
        <w:jc w:val="both"/>
        <w:rPr>
          <w:b w:val="false"/>
          <w:b w:val="false"/>
          <w:lang w:val="bg-BG"/>
        </w:rPr>
      </w:pPr>
      <w:r>
        <w:rPr>
          <w:b w:val="false"/>
          <w:lang w:val="bg-BG"/>
        </w:rPr>
        <w:t xml:space="preserve">По онтогенетични причини. Дълголетниците са мярка (еталон) за начин на живот, който е условие за неговото удължаване. </w:t>
      </w:r>
    </w:p>
    <w:p>
      <w:pPr>
        <w:pStyle w:val="Heading3"/>
        <w:numPr>
          <w:ilvl w:val="0"/>
          <w:numId w:val="26"/>
        </w:numPr>
        <w:jc w:val="both"/>
        <w:rPr>
          <w:b w:val="false"/>
          <w:b w:val="false"/>
          <w:lang w:val="bg-BG"/>
        </w:rPr>
      </w:pPr>
      <w:r>
        <w:rPr>
          <w:b w:val="false"/>
          <w:lang w:val="bg-BG"/>
        </w:rPr>
        <w:t xml:space="preserve">По познавателни причини. Перспективите на развитието, залагани в детството и в ранното юношество, могат да бъдат осмислени, когато има с какво да се сравняват. Това е жизненият път на хората, достигнали дълголетие. </w:t>
      </w:r>
    </w:p>
    <w:p>
      <w:pPr>
        <w:pStyle w:val="Heading3"/>
        <w:numPr>
          <w:ilvl w:val="0"/>
          <w:numId w:val="26"/>
        </w:numPr>
        <w:jc w:val="both"/>
        <w:rPr>
          <w:b w:val="false"/>
          <w:b w:val="false"/>
          <w:lang w:val="bg-BG"/>
        </w:rPr>
      </w:pPr>
      <w:r>
        <w:rPr>
          <w:b w:val="false"/>
          <w:lang w:val="bg-BG"/>
        </w:rPr>
        <w:t xml:space="preserve">По хуманни причини. Животът на човека се осъществява веднъж. Пълноценното му оползотворяване в личен и в обществен интерес, и максималното му удължаване, при запазване на самочувствието и на работоспособността, е повеля на съвременното демократично общество. Научно-техническият възход без възход в живота на човека, не изпълнява своето предназначение. Комисията на ЮНЕСКО под ръководството на Жак Делор, която анализира развитието на образованието и културата през ХХІ век, стига до заключението, че трудовата заетост на хората ще става все по-кратка, по-къс ще бъде работният ден и по-дълъг и пълноценен животът на хората след пенсионирането. Те ще имат повече време и възможности за участие в богатство от дейности по интереси. За да посрещнат и оползотворят тези перспективи възрастните следва много повече години да запазват физическото и психическото си здраве. </w:t>
      </w:r>
    </w:p>
    <w:p>
      <w:pPr>
        <w:pStyle w:val="Heading3"/>
        <w:numPr>
          <w:ilvl w:val="0"/>
          <w:numId w:val="26"/>
        </w:numPr>
        <w:jc w:val="both"/>
        <w:rPr/>
      </w:pPr>
      <w:r>
        <w:rPr>
          <w:b w:val="false"/>
          <w:lang w:val="bg-BG"/>
        </w:rPr>
        <w:t xml:space="preserve">По социални причини. Съвременното удължаване на живота на населението поставя проблема …как да се осигурява жизнеността на човека, обществената и личната му полезност? Ако у нас през 1935-39 г. средната продължителност на живота е била 52 г., то сега тя е над 70. На планетата земя понастоящем живеят 7.4 милиарда души, от които към 680 милиона са възрастни. За сравнение в 1950 г. хората над 60 г. са били 200 милиона. </w:t>
      </w:r>
    </w:p>
    <w:p>
      <w:pPr>
        <w:pStyle w:val="Heading3"/>
        <w:numPr>
          <w:ilvl w:val="0"/>
          <w:numId w:val="26"/>
        </w:numPr>
        <w:jc w:val="both"/>
        <w:rPr>
          <w:b w:val="false"/>
          <w:b w:val="false"/>
          <w:lang w:val="bg-BG"/>
        </w:rPr>
      </w:pPr>
      <w:r>
        <w:rPr>
          <w:b w:val="false"/>
          <w:lang w:val="bg-BG"/>
        </w:rPr>
        <w:t>По демографски причини. Данни показват, че пределите на човешкия живот не са съществуващите 80, 90 г., а са значително по-отдалечени във времето. В света и у нас има столетници, които са навлезли повече или по-малко в новия си век. ... По-големият контингент жизнеспособно население осигурява повече блага, по-добро благосъстояние на човечеството.</w:t>
      </w:r>
    </w:p>
    <w:p>
      <w:pPr>
        <w:pStyle w:val="Heading3"/>
        <w:numPr>
          <w:ilvl w:val="0"/>
          <w:numId w:val="26"/>
        </w:numPr>
        <w:jc w:val="both"/>
        <w:rPr/>
      </w:pPr>
      <w:r>
        <w:rPr>
          <w:b w:val="false"/>
          <w:lang w:val="bg-BG"/>
        </w:rPr>
        <w:t xml:space="preserve">По научни причини. Познанията за благополучния път в развитието на човека позволяват по-добре то да се прогнозира, управлява. Така например съществува факт, който и досега не е намерил достатъчно убедително и доказано обяснение. Той е следният: до 45 г. съотношението между мъжете и жените е почти еднакво. След това процентът на смъртността при мъжете се засилва. В резултат към 70 г. жените стават повече от мъжете (6 жени – 5 мъже), а към 80 г. отношението в полза на жените е 4:1. Привеждат се различни основания за съществуващите различия като по-голяма физическа натовареност на мъжете, която съкращава живота им, по-силно влияние на рискови фактори (шум на работното място, запрашеност), недостатъчна самовзискателност в начина на живот и др. Данни показват, че при същите условия на труд жените остават да живеят по-дълго. Отговорът се търси на хромозомна основа. Посочва се, че и мъжките животни умират по-рано. Няма ли нещо във функциите, което по-интензивно ги изчерпва, остава открит въпрос” (14, с. 7-9). </w:t>
      </w:r>
    </w:p>
    <w:p>
      <w:pPr>
        <w:pStyle w:val="Heading3"/>
        <w:jc w:val="both"/>
        <w:rPr/>
      </w:pPr>
      <w:r>
        <w:rPr>
          <w:b w:val="false"/>
          <w:lang w:val="bg-BG"/>
        </w:rPr>
        <w:t xml:space="preserve">Интегративният характер на герагогиката дава определено отражение и върху нейните конкретни </w:t>
      </w:r>
      <w:r>
        <w:rPr>
          <w:lang w:val="bg-BG"/>
        </w:rPr>
        <w:t>цели и задачи</w:t>
      </w:r>
      <w:r>
        <w:rPr>
          <w:b w:val="false"/>
          <w:lang w:val="bg-BG"/>
        </w:rPr>
        <w:t xml:space="preserve">. Според нас </w:t>
      </w:r>
      <w:r>
        <w:rPr>
          <w:lang w:val="bg-BG"/>
        </w:rPr>
        <w:t>основна теоретична задача</w:t>
      </w:r>
      <w:r>
        <w:rPr>
          <w:b w:val="false"/>
          <w:lang w:val="bg-BG"/>
        </w:rPr>
        <w:t xml:space="preserve"> на тази наука е, като се опира на постиженията на класическите науки анатомия, физиология, хигиена, геронтология, психология ( геронтопсихология), демография и др. да разкрие по-цялостно основните характеристики и особености на хората от третата възраст, движещите сили на тяхното развитие, условията, факторите и предпоставките, които благоприятстват за  оптимизиране на активността и продуктивността им, за удължаване на техния живот. </w:t>
      </w:r>
      <w:r>
        <w:rPr>
          <w:lang w:val="bg-BG"/>
        </w:rPr>
        <w:t>Важна</w:t>
      </w:r>
      <w:r>
        <w:rPr>
          <w:b w:val="false"/>
          <w:lang w:val="bg-BG"/>
        </w:rPr>
        <w:t xml:space="preserve"> </w:t>
      </w:r>
      <w:r>
        <w:rPr>
          <w:lang w:val="bg-BG"/>
        </w:rPr>
        <w:t xml:space="preserve">практико-приложна задача на герагогиката </w:t>
      </w:r>
      <w:r>
        <w:rPr>
          <w:b w:val="false"/>
          <w:lang w:val="bg-BG"/>
        </w:rPr>
        <w:t xml:space="preserve">е разработването на цялостна система от правила, препоръки и мерки за съблюдаване от хората в трета възраст на здравословен стил и начин на живот, който да им осигури оптимално психофизиологическо здраве и дълголетие. </w:t>
      </w:r>
    </w:p>
    <w:p>
      <w:pPr>
        <w:pStyle w:val="Heading3"/>
        <w:jc w:val="both"/>
        <w:rPr/>
      </w:pPr>
      <w:r>
        <w:rPr>
          <w:b w:val="false"/>
          <w:lang w:val="bg-BG"/>
        </w:rPr>
        <w:t xml:space="preserve">Разработването на герагогическата проблематика е от изключителна важност за преодоляване на “тунелното” изучаване на едни или други аспекти на третата възраст (анатомически, физиологически, психологически, здравно-хигиенни и пр.). Приложението на </w:t>
      </w:r>
      <w:r>
        <w:rPr>
          <w:lang w:val="bg-BG"/>
        </w:rPr>
        <w:t>комплексно-интегративния  подход</w:t>
      </w:r>
      <w:r>
        <w:rPr>
          <w:b w:val="false"/>
          <w:lang w:val="bg-BG"/>
        </w:rPr>
        <w:t xml:space="preserve"> би позволило пълноценно  да се използват постиженията всички науки, имащи отношение към тази възраст.</w:t>
      </w:r>
    </w:p>
    <w:p>
      <w:pPr>
        <w:pStyle w:val="Heading2"/>
        <w:rPr>
          <w:lang w:val="bg-BG"/>
        </w:rPr>
      </w:pPr>
      <w:bookmarkStart w:id="4" w:name="__RefHeading___Toc89859665"/>
      <w:bookmarkEnd w:id="4"/>
      <w:r>
        <w:rPr>
          <w:lang w:val="bg-BG"/>
        </w:rPr>
        <w:t>1.3. Основни категории  на герагогиката</w:t>
      </w:r>
    </w:p>
    <w:p>
      <w:pPr>
        <w:pStyle w:val="Heading3"/>
        <w:jc w:val="both"/>
        <w:rPr/>
      </w:pPr>
      <w:r>
        <w:rPr>
          <w:lang w:val="bg-BG"/>
        </w:rPr>
        <w:t>Всяка наука</w:t>
      </w:r>
      <w:r>
        <w:rPr>
          <w:b w:val="false"/>
          <w:lang w:val="bg-BG"/>
        </w:rPr>
        <w:t xml:space="preserve"> по своята същност е </w:t>
      </w:r>
      <w:r>
        <w:rPr>
          <w:lang w:val="bg-BG"/>
        </w:rPr>
        <w:t>система от теории</w:t>
      </w:r>
      <w:r>
        <w:rPr>
          <w:b w:val="false"/>
          <w:lang w:val="bg-BG"/>
        </w:rPr>
        <w:t xml:space="preserve">, а самите теории включват </w:t>
      </w:r>
      <w:r>
        <w:rPr>
          <w:lang w:val="bg-BG"/>
        </w:rPr>
        <w:t>система от понятия</w:t>
      </w:r>
      <w:r>
        <w:rPr>
          <w:b w:val="false"/>
          <w:lang w:val="bg-BG"/>
        </w:rPr>
        <w:t xml:space="preserve">, отразяващи същността на изучаваните от науката явления. Най-общите научни понятия се наричат </w:t>
      </w:r>
      <w:r>
        <w:rPr>
          <w:lang w:val="bg-BG"/>
        </w:rPr>
        <w:t>категории</w:t>
      </w:r>
      <w:r>
        <w:rPr>
          <w:b w:val="false"/>
          <w:lang w:val="bg-BG"/>
        </w:rPr>
        <w:t xml:space="preserve">.  Изграждането на </w:t>
      </w:r>
      <w:r>
        <w:rPr>
          <w:lang w:val="bg-BG"/>
        </w:rPr>
        <w:t>категориално-понятийния апарат</w:t>
      </w:r>
      <w:r>
        <w:rPr>
          <w:b w:val="false"/>
          <w:lang w:val="bg-BG"/>
        </w:rPr>
        <w:t xml:space="preserve"> е една от най-важните задачи на която и да е наука, защото чрез него може адекватно да се разкрие нейния предмет. Категориите и останалите понятия не само обясняват обективната природа на изучаваните явления, а и отразяват определен етап на тяхното познание. </w:t>
      </w:r>
    </w:p>
    <w:p>
      <w:pPr>
        <w:pStyle w:val="Heading3"/>
        <w:jc w:val="both"/>
        <w:rPr/>
      </w:pPr>
      <w:r>
        <w:rPr>
          <w:b w:val="false"/>
          <w:lang w:val="bg-BG"/>
        </w:rPr>
        <w:t xml:space="preserve">Като интегративна по своя характер наука </w:t>
      </w:r>
      <w:r>
        <w:rPr>
          <w:lang w:val="bg-BG"/>
        </w:rPr>
        <w:t>герагогиката</w:t>
      </w:r>
      <w:r>
        <w:rPr>
          <w:b w:val="false"/>
          <w:lang w:val="bg-BG"/>
        </w:rPr>
        <w:t xml:space="preserve"> използва </w:t>
      </w:r>
      <w:r>
        <w:rPr>
          <w:lang w:val="bg-BG"/>
        </w:rPr>
        <w:t>основните понятия,</w:t>
      </w:r>
      <w:r>
        <w:rPr>
          <w:b w:val="false"/>
          <w:lang w:val="bg-BG"/>
        </w:rPr>
        <w:t xml:space="preserve"> които са вече придобили гражданственост в родствените й науки – геронтология, биология, социология и др. – </w:t>
      </w:r>
      <w:r>
        <w:rPr>
          <w:lang w:val="bg-BG"/>
        </w:rPr>
        <w:t>възраст, продължителност на живота,  стареене, старост, дълголетие</w:t>
      </w:r>
      <w:r>
        <w:rPr>
          <w:b w:val="false"/>
          <w:lang w:val="bg-BG"/>
        </w:rPr>
        <w:t xml:space="preserve">, </w:t>
      </w:r>
      <w:r>
        <w:rPr>
          <w:lang w:val="bg-BG"/>
        </w:rPr>
        <w:t>смърт</w:t>
      </w:r>
      <w:r>
        <w:rPr>
          <w:b w:val="false"/>
          <w:lang w:val="bg-BG"/>
        </w:rPr>
        <w:t xml:space="preserve">, </w:t>
      </w:r>
      <w:r>
        <w:rPr>
          <w:lang w:val="bg-BG"/>
        </w:rPr>
        <w:t>безсмъртие</w:t>
      </w:r>
      <w:r>
        <w:rPr>
          <w:b w:val="false"/>
          <w:lang w:val="bg-BG"/>
        </w:rPr>
        <w:t xml:space="preserve"> и пр. В тези категории се преплитат и обективните закони на живота, и субективните  представи на човечеството. От областта на педагогическото познание широко приложение в герагогиката имат категориите </w:t>
      </w:r>
      <w:r>
        <w:rPr>
          <w:lang w:val="bg-BG"/>
        </w:rPr>
        <w:t xml:space="preserve">възпитание, образование и обучение, </w:t>
      </w:r>
      <w:r>
        <w:rPr>
          <w:b w:val="false"/>
          <w:lang w:val="bg-BG"/>
        </w:rPr>
        <w:t>а също и техните производни (</w:t>
      </w:r>
      <w:r>
        <w:rPr>
          <w:lang w:val="bg-BG"/>
        </w:rPr>
        <w:t xml:space="preserve">самовъзпитание, превъзпитание, самообразование </w:t>
      </w:r>
      <w:r>
        <w:rPr>
          <w:b w:val="false"/>
          <w:lang w:val="bg-BG"/>
        </w:rPr>
        <w:t>и др.).</w:t>
      </w:r>
    </w:p>
    <w:p>
      <w:pPr>
        <w:pStyle w:val="Heading3"/>
        <w:jc w:val="both"/>
        <w:rPr/>
      </w:pPr>
      <w:r>
        <w:rPr>
          <w:b w:val="false"/>
          <w:lang w:val="bg-BG"/>
        </w:rPr>
        <w:t xml:space="preserve">Посочените понятия са едни от </w:t>
      </w:r>
      <w:r>
        <w:rPr>
          <w:lang w:val="bg-BG"/>
        </w:rPr>
        <w:t>най-общите</w:t>
      </w:r>
      <w:r>
        <w:rPr>
          <w:b w:val="false"/>
          <w:lang w:val="bg-BG"/>
        </w:rPr>
        <w:t xml:space="preserve"> в герагогиката. В рамките на човекознанието тези понятия с основание могат да бъдат отнесени към категорията на </w:t>
      </w:r>
      <w:r>
        <w:rPr>
          <w:lang w:val="bg-BG"/>
        </w:rPr>
        <w:t>общонаучните понятия</w:t>
      </w:r>
      <w:r>
        <w:rPr>
          <w:b w:val="false"/>
          <w:lang w:val="bg-BG"/>
        </w:rPr>
        <w:t xml:space="preserve">. Както изтъкват Т.В. </w:t>
      </w:r>
      <w:r>
        <w:rPr>
          <w:lang w:val="bg-BG"/>
        </w:rPr>
        <w:t>Карсаевская</w:t>
      </w:r>
      <w:r>
        <w:rPr>
          <w:b w:val="false"/>
          <w:lang w:val="bg-BG"/>
        </w:rPr>
        <w:t xml:space="preserve"> и А.Т. </w:t>
      </w:r>
      <w:r>
        <w:rPr>
          <w:lang w:val="bg-BG"/>
        </w:rPr>
        <w:t>Шаталов</w:t>
      </w:r>
      <w:r>
        <w:rPr>
          <w:b w:val="false"/>
          <w:lang w:val="bg-BG"/>
        </w:rPr>
        <w:t xml:space="preserve">, “общонаучните понятия в процеса на своето формиране започват да се разпространяват от тази област, където първоначално са възникнали, в други специални науки, внасяйки в тях ново съдържание. “Вписвайки се” в понятийния апарат на новата наука, те функционират в нея като “понижен” вариант на началното равнище на всеобщност, позволявайки да се прилагат методите и постиженията на тази наука, от която те са излезли. Такъв процес на пренос на знанията от една област в друга води до обогатяване и задълбочаване на неговото съдържание, до неговата диференциация на по-частни форми” (25, с.81).  </w:t>
      </w:r>
    </w:p>
    <w:p>
      <w:pPr>
        <w:pStyle w:val="Heading3"/>
        <w:jc w:val="both"/>
        <w:rPr/>
      </w:pPr>
      <w:r>
        <w:rPr>
          <w:b w:val="false"/>
          <w:lang w:val="bg-BG"/>
        </w:rPr>
        <w:t>Понятието “</w:t>
      </w:r>
      <w:r>
        <w:rPr>
          <w:lang w:val="bg-BG"/>
        </w:rPr>
        <w:t>възраст</w:t>
      </w:r>
      <w:r>
        <w:rPr>
          <w:b w:val="false"/>
          <w:lang w:val="bg-BG"/>
        </w:rPr>
        <w:t>” има богато съдържание. Обикновено с него се обозначават времевите характеристики на индивидуалното съществуване на човека, т.е. броя на преживените от него години (месеци и дни). Т.нар. “</w:t>
      </w:r>
      <w:r>
        <w:rPr>
          <w:lang w:val="bg-BG"/>
        </w:rPr>
        <w:t xml:space="preserve">хронологична” (“календарна”) възраст </w:t>
      </w:r>
      <w:r>
        <w:rPr>
          <w:b w:val="false"/>
          <w:lang w:val="bg-BG"/>
        </w:rPr>
        <w:t>показва продължителността на съществуването на човека от момента на неговото раждане. Същевременно се употребяват и понятията “</w:t>
      </w:r>
      <w:r>
        <w:rPr>
          <w:lang w:val="bg-BG"/>
        </w:rPr>
        <w:t>биологическа възраст”, “психологическа възраст”, “социална възраст”, “функционална възраст</w:t>
      </w:r>
      <w:r>
        <w:rPr>
          <w:b w:val="false"/>
          <w:lang w:val="bg-BG"/>
        </w:rPr>
        <w:t xml:space="preserve">”. </w:t>
      </w:r>
    </w:p>
    <w:p>
      <w:pPr>
        <w:pStyle w:val="Heading3"/>
        <w:jc w:val="both"/>
        <w:rPr/>
      </w:pPr>
      <w:r>
        <w:rPr>
          <w:lang w:val="bg-BG"/>
        </w:rPr>
        <w:t>Биологическата възраст</w:t>
      </w:r>
      <w:r>
        <w:rPr>
          <w:b w:val="false"/>
          <w:lang w:val="bg-BG"/>
        </w:rPr>
        <w:t xml:space="preserve"> на човека се определя чрез комплексна характеристика на функционалното състояние на различните му органи и системи и оценка на здравословното му състояние. </w:t>
      </w:r>
    </w:p>
    <w:p>
      <w:pPr>
        <w:pStyle w:val="Heading3"/>
        <w:jc w:val="both"/>
        <w:rPr/>
      </w:pPr>
      <w:r>
        <w:rPr>
          <w:lang w:val="bg-BG"/>
        </w:rPr>
        <w:t>Психологическата възраст</w:t>
      </w:r>
      <w:r>
        <w:rPr>
          <w:b w:val="false"/>
          <w:lang w:val="bg-BG"/>
        </w:rPr>
        <w:t xml:space="preserve"> характеризира главно сензорно-перцептивната сфера, особеностите на интелекутално-волевото състояние, личностните характеристики и равнището на творческата продуктивност на човека. </w:t>
      </w:r>
    </w:p>
    <w:p>
      <w:pPr>
        <w:pStyle w:val="Heading3"/>
        <w:jc w:val="both"/>
        <w:rPr/>
      </w:pPr>
      <w:r>
        <w:rPr>
          <w:b w:val="false"/>
          <w:lang w:val="bg-BG"/>
        </w:rPr>
        <w:t xml:space="preserve">Понятието </w:t>
      </w:r>
      <w:r>
        <w:rPr>
          <w:lang w:val="bg-BG"/>
        </w:rPr>
        <w:t>социална възраст</w:t>
      </w:r>
      <w:r>
        <w:rPr>
          <w:b w:val="false"/>
          <w:lang w:val="bg-BG"/>
        </w:rPr>
        <w:t xml:space="preserve"> поставя акцента върху ролята и значението на редица социално-икономически и културологически параметри, които оказват влияние върху хората на един или друг етап от развитието на обществото. “Социологическото изследване на възрастта предполага да се има пред вид двоякото разделение на времето, като първото показва годините на живота на човека (или кохортата от хора), а второто – календарните години, в които даден човек или дадена кохорта живее, т.е. става дума за точна маркировка на интервала от време на скалата на историята на обществото” (25, с. 103). </w:t>
      </w:r>
    </w:p>
    <w:p>
      <w:pPr>
        <w:pStyle w:val="Heading3"/>
        <w:jc w:val="both"/>
        <w:rPr/>
      </w:pPr>
      <w:r>
        <w:rPr>
          <w:b w:val="false"/>
          <w:lang w:val="bg-BG"/>
        </w:rPr>
        <w:t xml:space="preserve">Понятието </w:t>
      </w:r>
      <w:r>
        <w:rPr>
          <w:lang w:val="bg-BG"/>
        </w:rPr>
        <w:t>функционална възраст</w:t>
      </w:r>
      <w:r>
        <w:rPr>
          <w:b w:val="false"/>
          <w:lang w:val="bg-BG"/>
        </w:rPr>
        <w:t xml:space="preserve"> би могло да се разглежда като производно от </w:t>
      </w:r>
      <w:r>
        <w:rPr>
          <w:lang w:val="bg-BG"/>
        </w:rPr>
        <w:t>биологичната, психологическата и социалната възраст</w:t>
      </w:r>
      <w:r>
        <w:rPr>
          <w:b w:val="false"/>
          <w:lang w:val="bg-BG"/>
        </w:rPr>
        <w:t>.</w:t>
      </w:r>
      <w:r>
        <w:rPr>
          <w:b w:val="false"/>
          <w:sz w:val="20"/>
          <w:lang w:val="bg-BG"/>
        </w:rPr>
        <w:t xml:space="preserve"> </w:t>
      </w:r>
    </w:p>
    <w:p>
      <w:pPr>
        <w:pStyle w:val="Heading3"/>
        <w:jc w:val="both"/>
        <w:rPr/>
      </w:pPr>
      <w:r>
        <w:rPr>
          <w:b w:val="false"/>
          <w:lang w:val="bg-BG"/>
        </w:rPr>
        <w:t xml:space="preserve">Проблемът за </w:t>
      </w:r>
      <w:r>
        <w:rPr>
          <w:i/>
          <w:lang w:val="bg-BG"/>
        </w:rPr>
        <w:t>възрастта</w:t>
      </w:r>
      <w:r>
        <w:rPr>
          <w:lang w:val="bg-BG"/>
        </w:rPr>
        <w:t xml:space="preserve"> </w:t>
      </w:r>
      <w:r>
        <w:rPr>
          <w:b w:val="false"/>
          <w:lang w:val="bg-BG"/>
        </w:rPr>
        <w:t xml:space="preserve">и </w:t>
      </w:r>
      <w:r>
        <w:rPr>
          <w:i/>
          <w:lang w:val="bg-BG"/>
        </w:rPr>
        <w:t>времевите характеристики</w:t>
      </w:r>
      <w:r>
        <w:rPr>
          <w:b w:val="false"/>
          <w:lang w:val="bg-BG"/>
        </w:rPr>
        <w:t xml:space="preserve"> на развитието на човека е един от най-сложните. На всеки етап от своя живот човек се представя като цялостен феномен (като констелация на биологично, социално и психично). С други думи, времето и възрастта трябва да се разглеждат не само като обективен антропологически показател за изживените години, а и като фактор за развитието и формирането на личността и на поколенията. Както изтъква Л. </w:t>
      </w:r>
      <w:r>
        <w:rPr>
          <w:lang w:val="bg-BG"/>
        </w:rPr>
        <w:t xml:space="preserve">Георгиев </w:t>
      </w:r>
      <w:r>
        <w:rPr>
          <w:b w:val="false"/>
          <w:lang w:val="bg-BG"/>
        </w:rPr>
        <w:t xml:space="preserve">(14, с.16), </w:t>
      </w:r>
      <w:r>
        <w:rPr>
          <w:i/>
          <w:lang w:val="bg-BG"/>
        </w:rPr>
        <w:t>двете понятия – възраст</w:t>
      </w:r>
      <w:r>
        <w:rPr>
          <w:b w:val="false"/>
          <w:lang w:val="bg-BG"/>
        </w:rPr>
        <w:t xml:space="preserve"> и </w:t>
      </w:r>
      <w:r>
        <w:rPr>
          <w:i/>
          <w:lang w:val="bg-BG"/>
        </w:rPr>
        <w:t>възрастност</w:t>
      </w:r>
      <w:r>
        <w:rPr>
          <w:b w:val="false"/>
          <w:lang w:val="bg-BG"/>
        </w:rPr>
        <w:t xml:space="preserve"> са свързани помежду си, но не са тъждествени</w:t>
      </w:r>
      <w:r>
        <w:rPr>
          <w:b w:val="false"/>
          <w:i/>
          <w:lang w:val="bg-BG"/>
        </w:rPr>
        <w:t xml:space="preserve">. </w:t>
      </w:r>
      <w:r>
        <w:rPr>
          <w:i/>
          <w:lang w:val="bg-BG"/>
        </w:rPr>
        <w:t xml:space="preserve"> Отличителни черти</w:t>
      </w:r>
      <w:r>
        <w:rPr>
          <w:b w:val="false"/>
          <w:lang w:val="bg-BG"/>
        </w:rPr>
        <w:t xml:space="preserve"> на </w:t>
      </w:r>
      <w:r>
        <w:rPr>
          <w:i/>
          <w:lang w:val="bg-BG"/>
        </w:rPr>
        <w:t>възрастта</w:t>
      </w:r>
      <w:r>
        <w:rPr>
          <w:b w:val="false"/>
          <w:i/>
          <w:lang w:val="bg-BG"/>
        </w:rPr>
        <w:t xml:space="preserve"> </w:t>
      </w:r>
      <w:r>
        <w:rPr>
          <w:b w:val="false"/>
          <w:lang w:val="bg-BG"/>
        </w:rPr>
        <w:t>са:</w:t>
      </w:r>
    </w:p>
    <w:p>
      <w:pPr>
        <w:pStyle w:val="Heading3"/>
        <w:numPr>
          <w:ilvl w:val="0"/>
          <w:numId w:val="53"/>
        </w:numPr>
        <w:jc w:val="both"/>
        <w:rPr>
          <w:b w:val="false"/>
          <w:b w:val="false"/>
          <w:lang w:val="bg-BG"/>
        </w:rPr>
      </w:pPr>
      <w:r>
        <w:rPr>
          <w:b w:val="false"/>
          <w:lang w:val="bg-BG"/>
        </w:rPr>
        <w:t>Отразява изживяното време след раждането.</w:t>
      </w:r>
    </w:p>
    <w:p>
      <w:pPr>
        <w:pStyle w:val="Heading3"/>
        <w:numPr>
          <w:ilvl w:val="0"/>
          <w:numId w:val="53"/>
        </w:numPr>
        <w:jc w:val="both"/>
        <w:rPr>
          <w:b w:val="false"/>
          <w:b w:val="false"/>
          <w:lang w:val="bg-BG"/>
        </w:rPr>
      </w:pPr>
      <w:r>
        <w:rPr>
          <w:b w:val="false"/>
          <w:lang w:val="bg-BG"/>
        </w:rPr>
        <w:t>Включва онаследени биологични особености на личността в тяхното единство от еволюционни и инволюционни процеси.</w:t>
      </w:r>
    </w:p>
    <w:p>
      <w:pPr>
        <w:pStyle w:val="Heading3"/>
        <w:numPr>
          <w:ilvl w:val="0"/>
          <w:numId w:val="53"/>
        </w:numPr>
        <w:jc w:val="both"/>
        <w:rPr>
          <w:b w:val="false"/>
          <w:b w:val="false"/>
          <w:lang w:val="bg-BG"/>
        </w:rPr>
      </w:pPr>
      <w:r>
        <w:rPr>
          <w:b w:val="false"/>
          <w:lang w:val="bg-BG"/>
        </w:rPr>
        <w:t xml:space="preserve">Съдържа типични за популацията, живяла в дадено време, психологически характеристики.  </w:t>
      </w:r>
    </w:p>
    <w:p>
      <w:pPr>
        <w:pStyle w:val="Heading3"/>
        <w:numPr>
          <w:ilvl w:val="0"/>
          <w:numId w:val="53"/>
        </w:numPr>
        <w:jc w:val="both"/>
        <w:rPr>
          <w:b w:val="false"/>
          <w:b w:val="false"/>
          <w:lang w:val="bg-BG"/>
        </w:rPr>
      </w:pPr>
      <w:r>
        <w:rPr>
          <w:b w:val="false"/>
          <w:lang w:val="bg-BG"/>
        </w:rPr>
        <w:t>Обхваща неповторими душевни особености на личността, обслужвани от конкретни условия на индивидуалния й живот.</w:t>
      </w:r>
    </w:p>
    <w:p>
      <w:pPr>
        <w:pStyle w:val="Heading3"/>
        <w:numPr>
          <w:ilvl w:val="0"/>
          <w:numId w:val="53"/>
        </w:numPr>
        <w:jc w:val="both"/>
        <w:rPr>
          <w:b w:val="false"/>
          <w:b w:val="false"/>
          <w:lang w:val="bg-BG"/>
        </w:rPr>
      </w:pPr>
      <w:r>
        <w:rPr>
          <w:b w:val="false"/>
          <w:lang w:val="bg-BG"/>
        </w:rPr>
        <w:t>Очертава перспективи, потенциални възможности в развитието на личността.</w:t>
      </w:r>
    </w:p>
    <w:p>
      <w:pPr>
        <w:pStyle w:val="Heading3"/>
        <w:numPr>
          <w:ilvl w:val="0"/>
          <w:numId w:val="53"/>
        </w:numPr>
        <w:jc w:val="both"/>
        <w:rPr>
          <w:b w:val="false"/>
          <w:b w:val="false"/>
          <w:lang w:val="bg-BG"/>
        </w:rPr>
      </w:pPr>
      <w:r>
        <w:rPr>
          <w:b w:val="false"/>
          <w:lang w:val="bg-BG"/>
        </w:rPr>
        <w:t>Позволява да се диференцират периоди на количествени и качествени новообразувания у личността.</w:t>
      </w:r>
    </w:p>
    <w:p>
      <w:pPr>
        <w:pStyle w:val="Heading3"/>
        <w:numPr>
          <w:ilvl w:val="0"/>
          <w:numId w:val="53"/>
        </w:numPr>
        <w:jc w:val="both"/>
        <w:rPr>
          <w:b w:val="false"/>
          <w:b w:val="false"/>
          <w:lang w:val="bg-BG"/>
        </w:rPr>
      </w:pPr>
      <w:r>
        <w:rPr>
          <w:b w:val="false"/>
          <w:lang w:val="bg-BG"/>
        </w:rPr>
        <w:t>Притежава необратимост.</w:t>
      </w:r>
    </w:p>
    <w:p>
      <w:pPr>
        <w:pStyle w:val="Heading3"/>
        <w:numPr>
          <w:ilvl w:val="0"/>
          <w:numId w:val="53"/>
        </w:numPr>
        <w:jc w:val="both"/>
        <w:rPr>
          <w:b w:val="false"/>
          <w:b w:val="false"/>
          <w:lang w:val="bg-BG"/>
        </w:rPr>
      </w:pPr>
      <w:r>
        <w:rPr>
          <w:b w:val="false"/>
          <w:lang w:val="bg-BG"/>
        </w:rPr>
        <w:t>Определя мястото на индивида в обществото.</w:t>
      </w:r>
    </w:p>
    <w:p>
      <w:pPr>
        <w:pStyle w:val="Heading3"/>
        <w:numPr>
          <w:ilvl w:val="0"/>
          <w:numId w:val="53"/>
        </w:numPr>
        <w:jc w:val="both"/>
        <w:rPr>
          <w:b w:val="false"/>
          <w:b w:val="false"/>
          <w:lang w:val="bg-BG"/>
        </w:rPr>
      </w:pPr>
      <w:r>
        <w:rPr>
          <w:b w:val="false"/>
          <w:lang w:val="bg-BG"/>
        </w:rPr>
        <w:t>Открива възможността в определени свои граници да се осъществява възпроизводство на човешкия род.</w:t>
      </w:r>
    </w:p>
    <w:p>
      <w:pPr>
        <w:pStyle w:val="Heading3"/>
        <w:ind w:left="60" w:firstLine="567"/>
        <w:jc w:val="both"/>
        <w:rPr/>
      </w:pPr>
      <w:r>
        <w:rPr>
          <w:i/>
          <w:lang w:val="bg-BG"/>
        </w:rPr>
        <w:t>Понятието възрастност</w:t>
      </w:r>
      <w:r>
        <w:rPr>
          <w:b w:val="false"/>
          <w:lang w:val="bg-BG"/>
        </w:rPr>
        <w:t xml:space="preserve"> означава:</w:t>
      </w:r>
    </w:p>
    <w:p>
      <w:pPr>
        <w:pStyle w:val="Heading3"/>
        <w:numPr>
          <w:ilvl w:val="0"/>
          <w:numId w:val="47"/>
        </w:numPr>
        <w:jc w:val="both"/>
        <w:rPr>
          <w:b w:val="false"/>
          <w:b w:val="false"/>
          <w:lang w:val="bg-BG"/>
        </w:rPr>
      </w:pPr>
      <w:r>
        <w:rPr>
          <w:b w:val="false"/>
          <w:lang w:val="bg-BG"/>
        </w:rPr>
        <w:t>Качествен етап във възрастовото развитие на личността, който е най-продължителен в жизнения път на човека и обхваща 50,60 и повече години.</w:t>
      </w:r>
    </w:p>
    <w:p>
      <w:pPr>
        <w:pStyle w:val="Heading3"/>
        <w:numPr>
          <w:ilvl w:val="0"/>
          <w:numId w:val="47"/>
        </w:numPr>
        <w:jc w:val="both"/>
        <w:rPr>
          <w:b w:val="false"/>
          <w:b w:val="false"/>
          <w:lang w:val="bg-BG"/>
        </w:rPr>
      </w:pPr>
      <w:r>
        <w:rPr>
          <w:b w:val="false"/>
          <w:lang w:val="bg-BG"/>
        </w:rPr>
        <w:t>Продуктивност, нарастващо майсторство и мъдрост на личността.</w:t>
      </w:r>
    </w:p>
    <w:p>
      <w:pPr>
        <w:pStyle w:val="Heading3"/>
        <w:numPr>
          <w:ilvl w:val="0"/>
          <w:numId w:val="47"/>
        </w:numPr>
        <w:jc w:val="both"/>
        <w:rPr>
          <w:b w:val="false"/>
          <w:b w:val="false"/>
          <w:lang w:val="bg-BG"/>
        </w:rPr>
      </w:pPr>
      <w:r>
        <w:rPr>
          <w:b w:val="false"/>
          <w:lang w:val="bg-BG"/>
        </w:rPr>
        <w:t>Биологически, психологически и социални положителни и негативни изменения.</w:t>
      </w:r>
    </w:p>
    <w:p>
      <w:pPr>
        <w:pStyle w:val="Heading3"/>
        <w:numPr>
          <w:ilvl w:val="0"/>
          <w:numId w:val="47"/>
        </w:numPr>
        <w:jc w:val="both"/>
        <w:rPr>
          <w:b w:val="false"/>
          <w:b w:val="false"/>
          <w:lang w:val="bg-BG"/>
        </w:rPr>
      </w:pPr>
      <w:r>
        <w:rPr>
          <w:b w:val="false"/>
          <w:lang w:val="bg-BG"/>
        </w:rPr>
        <w:t>Нарастваща реалистичност.</w:t>
      </w:r>
    </w:p>
    <w:p>
      <w:pPr>
        <w:pStyle w:val="Heading3"/>
        <w:numPr>
          <w:ilvl w:val="0"/>
          <w:numId w:val="47"/>
        </w:numPr>
        <w:jc w:val="both"/>
        <w:rPr>
          <w:b w:val="false"/>
          <w:b w:val="false"/>
          <w:lang w:val="bg-BG"/>
        </w:rPr>
      </w:pPr>
      <w:r>
        <w:rPr>
          <w:b w:val="false"/>
          <w:lang w:val="bg-BG"/>
        </w:rPr>
        <w:t>Повишена психическа устойчивост.</w:t>
      </w:r>
    </w:p>
    <w:p>
      <w:pPr>
        <w:pStyle w:val="Heading3"/>
        <w:numPr>
          <w:ilvl w:val="0"/>
          <w:numId w:val="47"/>
        </w:numPr>
        <w:jc w:val="both"/>
        <w:rPr>
          <w:b w:val="false"/>
          <w:b w:val="false"/>
          <w:lang w:val="bg-BG"/>
        </w:rPr>
      </w:pPr>
      <w:r>
        <w:rPr>
          <w:b w:val="false"/>
          <w:lang w:val="bg-BG"/>
        </w:rPr>
        <w:t>Самоопределение на личността като жизнена, знаеща и можеща.</w:t>
      </w:r>
    </w:p>
    <w:p>
      <w:pPr>
        <w:pStyle w:val="Heading3"/>
        <w:numPr>
          <w:ilvl w:val="0"/>
          <w:numId w:val="47"/>
        </w:numPr>
        <w:jc w:val="both"/>
        <w:rPr>
          <w:b w:val="false"/>
          <w:b w:val="false"/>
          <w:lang w:val="bg-BG"/>
        </w:rPr>
      </w:pPr>
      <w:r>
        <w:rPr>
          <w:b w:val="false"/>
          <w:lang w:val="bg-BG"/>
        </w:rPr>
        <w:t>Усилващо се оценъчно отношение към живота като все по-кратък.</w:t>
      </w:r>
    </w:p>
    <w:p>
      <w:pPr>
        <w:pStyle w:val="Heading3"/>
        <w:numPr>
          <w:ilvl w:val="0"/>
          <w:numId w:val="47"/>
        </w:numPr>
        <w:jc w:val="both"/>
        <w:rPr>
          <w:b w:val="false"/>
          <w:b w:val="false"/>
          <w:lang w:val="bg-BG"/>
        </w:rPr>
      </w:pPr>
      <w:r>
        <w:rPr>
          <w:b w:val="false"/>
          <w:lang w:val="bg-BG"/>
        </w:rPr>
        <w:t xml:space="preserve">Задълбочаване на индивидуалните различия. </w:t>
      </w:r>
    </w:p>
    <w:p>
      <w:pPr>
        <w:pStyle w:val="Heading3"/>
        <w:spacing w:lineRule="auto" w:line="232"/>
        <w:jc w:val="both"/>
        <w:rPr/>
      </w:pPr>
      <w:r>
        <w:rPr>
          <w:b w:val="false"/>
          <w:lang w:val="bg-BG"/>
        </w:rPr>
        <w:t xml:space="preserve">Човешкият живот, протичащ във времето, съдържа три измерения: </w:t>
      </w:r>
      <w:r>
        <w:rPr>
          <w:lang w:val="bg-BG"/>
        </w:rPr>
        <w:t>минало</w:t>
      </w:r>
      <w:r>
        <w:rPr>
          <w:b w:val="false"/>
          <w:lang w:val="bg-BG"/>
        </w:rPr>
        <w:t xml:space="preserve">, </w:t>
      </w:r>
      <w:r>
        <w:rPr>
          <w:lang w:val="bg-BG"/>
        </w:rPr>
        <w:t>настояще</w:t>
      </w:r>
      <w:r>
        <w:rPr>
          <w:b w:val="false"/>
          <w:lang w:val="bg-BG"/>
        </w:rPr>
        <w:t xml:space="preserve"> и </w:t>
      </w:r>
      <w:r>
        <w:rPr>
          <w:lang w:val="bg-BG"/>
        </w:rPr>
        <w:t>бъдеще</w:t>
      </w:r>
      <w:r>
        <w:rPr>
          <w:b w:val="false"/>
          <w:lang w:val="bg-BG"/>
        </w:rPr>
        <w:t xml:space="preserve">. Именно  поради това на всеки възрастов етап съотнасянето на тези три аспекта  дава ценна информация за развитието на човека като </w:t>
      </w:r>
      <w:r>
        <w:rPr>
          <w:lang w:val="bg-BG"/>
        </w:rPr>
        <w:t xml:space="preserve">организъм </w:t>
      </w:r>
      <w:r>
        <w:rPr>
          <w:b w:val="false"/>
          <w:lang w:val="bg-BG"/>
        </w:rPr>
        <w:t xml:space="preserve">(биологично развитие), като </w:t>
      </w:r>
      <w:r>
        <w:rPr>
          <w:lang w:val="bg-BG"/>
        </w:rPr>
        <w:t>личност</w:t>
      </w:r>
      <w:r>
        <w:rPr>
          <w:b w:val="false"/>
          <w:lang w:val="bg-BG"/>
        </w:rPr>
        <w:t xml:space="preserve"> (психичното развитие) и като </w:t>
      </w:r>
      <w:r>
        <w:rPr>
          <w:lang w:val="bg-BG"/>
        </w:rPr>
        <w:t>субект</w:t>
      </w:r>
      <w:r>
        <w:rPr>
          <w:b w:val="false"/>
          <w:lang w:val="bg-BG"/>
        </w:rPr>
        <w:t xml:space="preserve"> на </w:t>
      </w:r>
      <w:r>
        <w:rPr>
          <w:lang w:val="bg-BG"/>
        </w:rPr>
        <w:t>практическата дейност</w:t>
      </w:r>
      <w:r>
        <w:rPr>
          <w:b w:val="false"/>
          <w:lang w:val="bg-BG"/>
        </w:rPr>
        <w:t xml:space="preserve"> (социалното развитие). По принцип последователността на възрастовите периоди или фази на човешкото развитие е </w:t>
      </w:r>
      <w:r>
        <w:rPr>
          <w:lang w:val="bg-BG"/>
        </w:rPr>
        <w:t>генетически запрограмирана</w:t>
      </w:r>
      <w:r>
        <w:rPr>
          <w:b w:val="false"/>
          <w:lang w:val="bg-BG"/>
        </w:rPr>
        <w:t xml:space="preserve"> и необратима, но тяхната продължителност и “вътрешно съдържание” до голяма степен зависят от съвкупността от материални и културни фактори, характеризиращи равнището на развитие на обществото. С други думи, </w:t>
      </w:r>
      <w:r>
        <w:rPr>
          <w:lang w:val="bg-BG"/>
        </w:rPr>
        <w:t>индивидуалното време</w:t>
      </w:r>
      <w:r>
        <w:rPr>
          <w:b w:val="false"/>
          <w:lang w:val="bg-BG"/>
        </w:rPr>
        <w:t xml:space="preserve">, независимо от биологическите си корени, е обусловено и от </w:t>
      </w:r>
      <w:r>
        <w:rPr>
          <w:lang w:val="bg-BG"/>
        </w:rPr>
        <w:t>историческото време</w:t>
      </w:r>
      <w:r>
        <w:rPr>
          <w:b w:val="false"/>
          <w:lang w:val="bg-BG"/>
        </w:rPr>
        <w:t xml:space="preserve"> (историческите събития и процеси),  </w:t>
      </w:r>
      <w:r>
        <w:rPr>
          <w:lang w:val="bg-BG"/>
        </w:rPr>
        <w:t>социалното време</w:t>
      </w:r>
      <w:r>
        <w:rPr>
          <w:b w:val="false"/>
          <w:lang w:val="bg-BG"/>
        </w:rPr>
        <w:t xml:space="preserve"> (равнището на развитие на обществото), </w:t>
      </w:r>
      <w:r>
        <w:rPr>
          <w:lang w:val="bg-BG"/>
        </w:rPr>
        <w:t>психологическото време</w:t>
      </w:r>
      <w:r>
        <w:rPr>
          <w:b w:val="false"/>
          <w:lang w:val="bg-BG"/>
        </w:rPr>
        <w:t xml:space="preserve"> (развитието на самосъзнанието, запазването на своята идентичност, на собственото “Аз”). Психологическото време обикновено се смята за най-важният фактор, който детерминира качествената специфика на времевия хоризонт. В зависимост от преобладаващата времева насоченост (към настоящето, към миналото или към бъдещето) третата възраст може да се разглежда и като период на инволюция и деградация, и като период на еволютивно, прогресивно развитие. Именно времевата насоченост определя типа на стареене, взаимодействието между морфофизиологичните и поведенческите аспекти на стареенето, ролята на психичните компоненти в жизнената дейност на човека, действието на едни или други приспособителни и компенсаторни механизми.</w:t>
      </w:r>
    </w:p>
    <w:p>
      <w:pPr>
        <w:pStyle w:val="Heading3"/>
        <w:spacing w:lineRule="auto" w:line="232"/>
        <w:jc w:val="both"/>
        <w:rPr/>
      </w:pPr>
      <w:r>
        <w:rPr>
          <w:b w:val="false"/>
          <w:lang w:val="bg-BG"/>
        </w:rPr>
        <w:t xml:space="preserve">Понятието </w:t>
      </w:r>
      <w:r>
        <w:rPr>
          <w:lang w:val="bg-BG"/>
        </w:rPr>
        <w:t>“стареене</w:t>
      </w:r>
      <w:r>
        <w:rPr>
          <w:b w:val="false"/>
          <w:lang w:val="bg-BG"/>
        </w:rPr>
        <w:t xml:space="preserve">”се употребява в няколко значения. В широк смисъл с него едни автори характеризират възрастовите изменения през целия живот на човека, началото на които се поставя още със зачеването. Други учени под “стареене” разбират биологическите и психологическите изменения, които закономерно настъпват с увеличаване на възрастта. В по-тесен смисъл с това понятие се означават измененията, които настъпват у човека, вследствие на физиологически процеси или болестни причини,  сред периода на постигане от него на максимална производителност. </w:t>
      </w:r>
    </w:p>
    <w:p>
      <w:pPr>
        <w:pStyle w:val="Heading3"/>
        <w:spacing w:lineRule="auto" w:line="232"/>
        <w:jc w:val="both"/>
        <w:rPr/>
      </w:pPr>
      <w:r>
        <w:rPr>
          <w:b w:val="false"/>
          <w:lang w:val="bg-BG"/>
        </w:rPr>
        <w:t xml:space="preserve">Стареенето се разглежда като  </w:t>
      </w:r>
      <w:r>
        <w:rPr>
          <w:lang w:val="bg-BG"/>
        </w:rPr>
        <w:t>закономерен и неизбежен етап</w:t>
      </w:r>
      <w:r>
        <w:rPr>
          <w:b w:val="false"/>
          <w:lang w:val="bg-BG"/>
        </w:rPr>
        <w:t xml:space="preserve"> на организмено и популационно равнище. То е вътрешно противоречив процес, в хода на който възникват не само нарушения в обмена и функциите на организма, а и се мобилизират важни негови приспособителни механизми. Схващането за стареенето само като патологичен процес, като болестна деградация на организма е едностранчиво. Неприемливи са и възгледите, че стареенето започва още след зачатието (налице е смесване на геронтогенеза с онтогенеза) или че стареенето започва от момента на половото съзряване (известно е, че у много животински видове способността за размножаване се реализира значително по-рано от постигането на пълна физическа зрелост). Най-обосновано според нас е гледището, че стареенето започва след достигане на пълна физическа зрелост, на оптимума на физиологическото състояние и на максималната производителност. </w:t>
      </w:r>
    </w:p>
    <w:p>
      <w:pPr>
        <w:pStyle w:val="Heading3"/>
        <w:spacing w:lineRule="auto" w:line="232"/>
        <w:jc w:val="both"/>
        <w:rPr/>
      </w:pPr>
      <w:r>
        <w:rPr>
          <w:b w:val="false"/>
          <w:lang w:val="bg-BG"/>
        </w:rPr>
        <w:t xml:space="preserve">Разграничават се </w:t>
      </w:r>
      <w:r>
        <w:rPr>
          <w:lang w:val="bg-BG"/>
        </w:rPr>
        <w:t>“естествено (нормално) стареене</w:t>
      </w:r>
      <w:r>
        <w:rPr>
          <w:b w:val="false"/>
          <w:lang w:val="bg-BG"/>
        </w:rPr>
        <w:t xml:space="preserve">” ( в съответствие с изработените в еволюцията норми на развитието) и  </w:t>
      </w:r>
      <w:r>
        <w:rPr>
          <w:lang w:val="bg-BG"/>
        </w:rPr>
        <w:t xml:space="preserve">преждевременно </w:t>
      </w:r>
      <w:r>
        <w:rPr>
          <w:b w:val="false"/>
          <w:lang w:val="bg-BG"/>
        </w:rPr>
        <w:t>(</w:t>
      </w:r>
      <w:r>
        <w:rPr>
          <w:lang w:val="bg-BG"/>
        </w:rPr>
        <w:t xml:space="preserve">“патологично) стареене”. </w:t>
      </w:r>
      <w:r>
        <w:rPr>
          <w:b w:val="false"/>
          <w:lang w:val="bg-BG"/>
        </w:rPr>
        <w:t>Последното възниква в резултат от влиянието на едни или други неблагоприятни фактори и води до ускоряване на процеса на стареенето,  до относително бързо и прогресивно нарушаване на възстановителните и приспособителните механизми на организма.</w:t>
      </w:r>
    </w:p>
    <w:p>
      <w:pPr>
        <w:pStyle w:val="Heading3"/>
        <w:spacing w:lineRule="auto" w:line="232"/>
        <w:jc w:val="both"/>
        <w:rPr>
          <w:b w:val="false"/>
          <w:b w:val="false"/>
          <w:lang w:val="bg-BG"/>
        </w:rPr>
      </w:pPr>
      <w:r>
        <w:rPr>
          <w:b w:val="false"/>
          <w:lang w:val="bg-BG"/>
        </w:rPr>
        <w:t xml:space="preserve">Взаимоотношението между процесите на саморазрушаване и самовъзобновяване на различните етапи от развитието на организма не е едно и също. На предшестващите етапи скоростта и мащабът на инволюционните изменения обикновено са твърде незначителни и почти не влияят на общата продължителност на живота. </w:t>
      </w:r>
    </w:p>
    <w:p>
      <w:pPr>
        <w:pStyle w:val="Heading3"/>
        <w:spacing w:lineRule="auto" w:line="232"/>
        <w:jc w:val="both"/>
        <w:rPr/>
      </w:pPr>
      <w:r>
        <w:rPr>
          <w:b w:val="false"/>
          <w:lang w:val="bg-BG"/>
        </w:rPr>
        <w:t xml:space="preserve">Поради обстоятелството, че не съществуват наследствено регулирани твърди граници на продължителността на живота, </w:t>
      </w:r>
      <w:r>
        <w:rPr>
          <w:lang w:val="bg-BG"/>
        </w:rPr>
        <w:t>важна задача на герагогиката</w:t>
      </w:r>
      <w:r>
        <w:rPr>
          <w:b w:val="false"/>
          <w:lang w:val="bg-BG"/>
        </w:rPr>
        <w:t xml:space="preserve"> е постигането на обратимост на патологичните процеси на стареене, особено в по-ранните стадии на тяхното развитие. Едновременно с  това, </w:t>
      </w:r>
      <w:r>
        <w:rPr>
          <w:lang w:val="bg-BG"/>
        </w:rPr>
        <w:t>не по-малко важна</w:t>
      </w:r>
      <w:r>
        <w:rPr>
          <w:b w:val="false"/>
          <w:lang w:val="bg-BG"/>
        </w:rPr>
        <w:t xml:space="preserve"> </w:t>
      </w:r>
      <w:r>
        <w:rPr>
          <w:lang w:val="bg-BG"/>
        </w:rPr>
        <w:t>нейна задача</w:t>
      </w:r>
      <w:r>
        <w:rPr>
          <w:b w:val="false"/>
          <w:lang w:val="bg-BG"/>
        </w:rPr>
        <w:t xml:space="preserve"> , а и на цялата хуманитаристика е предотвратяването и обратимостта на естествения процес на стареене, постигането на максимално възможно дълголетие като важна стъпка за осъществяване на мечтата на човека за бъзсмъртие.</w:t>
      </w:r>
    </w:p>
    <w:p>
      <w:pPr>
        <w:pStyle w:val="Heading3"/>
        <w:spacing w:lineRule="auto" w:line="232"/>
        <w:jc w:val="both"/>
        <w:rPr/>
      </w:pPr>
      <w:r>
        <w:rPr>
          <w:b w:val="false"/>
          <w:lang w:val="bg-BG"/>
        </w:rPr>
        <w:t>Понятията “</w:t>
      </w:r>
      <w:r>
        <w:rPr>
          <w:lang w:val="bg-BG"/>
        </w:rPr>
        <w:t>стареене</w:t>
      </w:r>
      <w:r>
        <w:rPr>
          <w:b w:val="false"/>
          <w:lang w:val="bg-BG"/>
        </w:rPr>
        <w:t>” и “</w:t>
      </w:r>
      <w:r>
        <w:rPr>
          <w:lang w:val="bg-BG"/>
        </w:rPr>
        <w:t>старост</w:t>
      </w:r>
      <w:r>
        <w:rPr>
          <w:b w:val="false"/>
          <w:lang w:val="bg-BG"/>
        </w:rPr>
        <w:t xml:space="preserve">” са тясно свързани помежду си, но не са тъждествени. Стареенето е генетично програмиран процес, който има място не само на заключителния етап, а и на предшестващите стадии на човешкия живот. Той включва сложни възрастови изменения на различни равнища – молекулярно, клетъчно, тъканно, органно, на нивото на различните системи и на целия организъм. Старостта е резултатът, общото следствие от стареенето. Тя е последният, завършващият етап от индивидуалното развитие на човека. Стареенето обуславя  характера и времето на настъпването на старостта. То детерминира не само появата на старостта, а и темповете на нейното развитие. На свой ред старостта оказва обратно влияние върху протичането на процесите на стареене, може да ги забави или да ги ускори. </w:t>
      </w:r>
    </w:p>
    <w:p>
      <w:pPr>
        <w:pStyle w:val="Heading3"/>
        <w:spacing w:lineRule="auto" w:line="232"/>
        <w:jc w:val="both"/>
        <w:rPr>
          <w:b w:val="false"/>
          <w:b w:val="false"/>
          <w:lang w:val="bg-BG"/>
        </w:rPr>
      </w:pPr>
      <w:r>
        <w:rPr>
          <w:b w:val="false"/>
          <w:lang w:val="bg-BG"/>
        </w:rPr>
        <w:t>“</w:t>
      </w:r>
      <w:r>
        <w:rPr>
          <w:b w:val="false"/>
          <w:lang w:val="bg-BG"/>
        </w:rPr>
        <w:t>Старостта е не само инволюция и деградация, но и в известни отношения период на прогресивно развитие. Като цяло старостта ускорява прехода от преобладаване на прогресивни изменения към преобладаване на деструктивни процеси. Старостта като период на човешкия живот, характеризиращ в единство неговите биопсихосоциални страни е понятие не само биопсихологическо, а и социално-историческо. Неговите времеви характеристики и съдържание съществено варират в различните човешки общности, у различните социални групи, на различните етапи от човешката история, зависейки също и от индивидуалните психосоматични особености и индивидуалния начин на живот” (25, с. 89-90).</w:t>
      </w:r>
    </w:p>
    <w:p>
      <w:pPr>
        <w:pStyle w:val="Heading3"/>
        <w:spacing w:lineRule="auto" w:line="232"/>
        <w:jc w:val="both"/>
        <w:rPr/>
      </w:pPr>
      <w:r>
        <w:rPr>
          <w:b w:val="false"/>
          <w:lang w:val="bg-BG"/>
        </w:rPr>
        <w:t xml:space="preserve">Както изтъкват Т.В. </w:t>
      </w:r>
      <w:r>
        <w:rPr>
          <w:lang w:val="bg-BG"/>
        </w:rPr>
        <w:t>Карсаевская</w:t>
      </w:r>
      <w:r>
        <w:rPr>
          <w:b w:val="false"/>
          <w:lang w:val="bg-BG"/>
        </w:rPr>
        <w:t xml:space="preserve"> и А.Т. </w:t>
      </w:r>
      <w:r>
        <w:rPr>
          <w:lang w:val="bg-BG"/>
        </w:rPr>
        <w:t>Шаталов</w:t>
      </w:r>
      <w:r>
        <w:rPr>
          <w:b w:val="false"/>
          <w:lang w:val="bg-BG"/>
        </w:rPr>
        <w:t>, наред с термините “старене” и “старост” се използва и терминът “</w:t>
      </w:r>
      <w:r>
        <w:rPr>
          <w:lang w:val="bg-BG"/>
        </w:rPr>
        <w:t>геронтогенеза</w:t>
      </w:r>
      <w:r>
        <w:rPr>
          <w:b w:val="false"/>
          <w:lang w:val="bg-BG"/>
        </w:rPr>
        <w:t>”. С него се означава самото протичане на старостта, т.е. програмираният от естествения подбор период на онтогенеза, след който настъпва смъртта. Този термин е приложим само по отношение на процеса на стареене на човека, защото социалната детерминираност на този процес осигурява широко поле от възможности за многообразни начини на взаимно проникване между инволюционните изменения и реконструкциите на биопсихологическите и социокултурните страни и свойства на човешката личност. В житейски смисъл последният период от онтогенеза (геронтогенеза) обикновено се нарича “</w:t>
      </w:r>
      <w:r>
        <w:rPr>
          <w:lang w:val="bg-BG"/>
        </w:rPr>
        <w:t>трета възраст</w:t>
      </w:r>
      <w:r>
        <w:rPr>
          <w:b w:val="false"/>
          <w:lang w:val="bg-BG"/>
        </w:rPr>
        <w:t xml:space="preserve">”.  </w:t>
      </w:r>
    </w:p>
    <w:p>
      <w:pPr>
        <w:pStyle w:val="Heading3"/>
        <w:spacing w:lineRule="auto" w:line="232"/>
        <w:jc w:val="both"/>
        <w:rPr/>
      </w:pPr>
      <w:r>
        <w:rPr>
          <w:b w:val="false"/>
          <w:lang w:val="bg-BG"/>
        </w:rPr>
        <w:t>Понятието  “стареене” е тясно свързано с понятието “</w:t>
      </w:r>
      <w:r>
        <w:rPr>
          <w:lang w:val="bg-BG"/>
        </w:rPr>
        <w:t>продължителност на</w:t>
      </w:r>
      <w:r>
        <w:rPr>
          <w:b w:val="false"/>
          <w:lang w:val="bg-BG"/>
        </w:rPr>
        <w:t xml:space="preserve"> </w:t>
      </w:r>
      <w:r>
        <w:rPr>
          <w:lang w:val="bg-BG"/>
        </w:rPr>
        <w:t>живота</w:t>
      </w:r>
      <w:r>
        <w:rPr>
          <w:b w:val="false"/>
          <w:lang w:val="bg-BG"/>
        </w:rPr>
        <w:t xml:space="preserve">”. Разграничават се </w:t>
      </w:r>
      <w:r>
        <w:rPr>
          <w:lang w:val="bg-BG"/>
        </w:rPr>
        <w:t>индивидуална продължителност на живота</w:t>
      </w:r>
      <w:r>
        <w:rPr>
          <w:b w:val="false"/>
          <w:lang w:val="bg-BG"/>
        </w:rPr>
        <w:t xml:space="preserve"> по отношение на отделния човек и </w:t>
      </w:r>
      <w:r>
        <w:rPr>
          <w:lang w:val="bg-BG"/>
        </w:rPr>
        <w:t>средна продължителност на живота</w:t>
      </w:r>
      <w:r>
        <w:rPr>
          <w:b w:val="false"/>
          <w:lang w:val="bg-BG"/>
        </w:rPr>
        <w:t xml:space="preserve">, отнасяща се за населението на дадена  страна или географска област, за определена популация. </w:t>
      </w:r>
    </w:p>
    <w:p>
      <w:pPr>
        <w:pStyle w:val="Heading3"/>
        <w:spacing w:lineRule="auto" w:line="232"/>
        <w:jc w:val="both"/>
        <w:rPr>
          <w:b w:val="false"/>
          <w:b w:val="false"/>
          <w:lang w:val="bg-BG"/>
        </w:rPr>
      </w:pPr>
      <w:r>
        <w:rPr>
          <w:b w:val="false"/>
          <w:lang w:val="bg-BG"/>
        </w:rPr>
        <w:t xml:space="preserve">Благодарение на  научно-техническия и социалния прогрес, на успехите на медицината, здравеопазването и др. се създават благоприятни предпоставки за увеличаване не само на индивидуалната, а и на средната продължителност на живота във всички цивилизовани страни.  </w:t>
      </w:r>
    </w:p>
    <w:p>
      <w:pPr>
        <w:pStyle w:val="Heading3"/>
        <w:spacing w:lineRule="auto" w:line="232"/>
        <w:jc w:val="both"/>
        <w:rPr/>
      </w:pPr>
      <w:r>
        <w:rPr>
          <w:b w:val="false"/>
          <w:lang w:val="bg-BG"/>
        </w:rPr>
        <w:t xml:space="preserve">Закономерният завършек на процеса на стареенето е </w:t>
      </w:r>
      <w:r>
        <w:rPr>
          <w:lang w:val="bg-BG"/>
        </w:rPr>
        <w:t>смъртта</w:t>
      </w:r>
      <w:r>
        <w:rPr>
          <w:b w:val="false"/>
          <w:lang w:val="bg-BG"/>
        </w:rPr>
        <w:t xml:space="preserve">. Обикновено тя бива </w:t>
      </w:r>
      <w:r>
        <w:rPr>
          <w:lang w:val="bg-BG"/>
        </w:rPr>
        <w:t>естествена (физиологична),</w:t>
      </w:r>
      <w:r>
        <w:rPr>
          <w:b w:val="false"/>
          <w:lang w:val="bg-BG"/>
        </w:rPr>
        <w:t xml:space="preserve"> която настъпва при крайно изтощаване на организма поради старост, и </w:t>
      </w:r>
      <w:r>
        <w:rPr>
          <w:lang w:val="bg-BG"/>
        </w:rPr>
        <w:t>насилствена,</w:t>
      </w:r>
      <w:r>
        <w:rPr>
          <w:b w:val="false"/>
          <w:lang w:val="bg-BG"/>
        </w:rPr>
        <w:t xml:space="preserve"> настъпваща преждевременно следствие на различни заболявания или други причини (злополуки, катастрофи, войни, убийства, самоубийства, наказания и пр.). Твърде често</w:t>
      </w:r>
      <w:r>
        <w:rPr>
          <w:lang w:val="bg-BG"/>
        </w:rPr>
        <w:t xml:space="preserve"> </w:t>
      </w:r>
      <w:r>
        <w:rPr>
          <w:b w:val="false"/>
          <w:lang w:val="bg-BG"/>
        </w:rPr>
        <w:t xml:space="preserve">хронологичната (календарната) възраст на човека не съвпада с биологическата (или психологическата, социалната). Когато биологическата  възраст изпреварва хронологичната, настъпва </w:t>
      </w:r>
      <w:r>
        <w:rPr>
          <w:lang w:val="bg-BG"/>
        </w:rPr>
        <w:t>преждевременно остаряване</w:t>
      </w:r>
      <w:r>
        <w:rPr>
          <w:b w:val="false"/>
          <w:lang w:val="bg-BG"/>
        </w:rPr>
        <w:t>.</w:t>
      </w:r>
      <w:r>
        <w:rPr>
          <w:lang w:val="bg-BG"/>
        </w:rPr>
        <w:t xml:space="preserve"> </w:t>
      </w:r>
      <w:r>
        <w:rPr>
          <w:b w:val="false"/>
          <w:lang w:val="bg-BG"/>
        </w:rPr>
        <w:t xml:space="preserve">А когато биологическата възраст изостава в сравнение с хронологичната, се създават възможности за постигане на </w:t>
      </w:r>
      <w:r>
        <w:rPr>
          <w:lang w:val="bg-BG"/>
        </w:rPr>
        <w:t xml:space="preserve">максимална продължителност на живота </w:t>
      </w:r>
      <w:r>
        <w:rPr>
          <w:b w:val="false"/>
          <w:lang w:val="bg-BG"/>
        </w:rPr>
        <w:t xml:space="preserve">(на потенциално </w:t>
      </w:r>
      <w:r>
        <w:rPr>
          <w:lang w:val="bg-BG"/>
        </w:rPr>
        <w:t>дълголетие</w:t>
      </w:r>
      <w:r>
        <w:rPr>
          <w:b w:val="false"/>
          <w:lang w:val="bg-BG"/>
        </w:rPr>
        <w:t>). Максималната продължителност на живота е онази най-горна граница на календарната възраст, която може да бъде достигната от представителите на даден биологичен вид.</w:t>
      </w:r>
    </w:p>
    <w:p>
      <w:pPr>
        <w:pStyle w:val="Heading3"/>
        <w:spacing w:lineRule="auto" w:line="232"/>
        <w:jc w:val="both"/>
        <w:rPr/>
      </w:pPr>
      <w:r>
        <w:rPr>
          <w:b w:val="false"/>
          <w:lang w:val="bg-BG"/>
        </w:rPr>
        <w:t xml:space="preserve">Понятието “възраст” има определено значение за социологията, икономиката, демографията и др. Така например  съществува специфично демографско понятие </w:t>
      </w:r>
      <w:r>
        <w:rPr>
          <w:lang w:val="bg-BG"/>
        </w:rPr>
        <w:t>“стареене на населението”.</w:t>
      </w:r>
      <w:r>
        <w:rPr>
          <w:b w:val="false"/>
          <w:lang w:val="bg-BG"/>
        </w:rPr>
        <w:t xml:space="preserve"> То характеризира процесите на стареенето на популационно ниво, като се отчитат абсолютният и относителният дял на лицата, навършили определена възраст (60 и повече години, спрямо общото население на една или друга страна. Според възприетите демографски показатели на Световната здравна организация (СЗО) всяка нация навлиза в стадий на демографско остаряване тогава, когато относителният дял на лицата над 60-годишна възраст надминава 12 %. Процесът е положителен, когато не надвишава 20 %. </w:t>
      </w:r>
    </w:p>
    <w:p>
      <w:pPr>
        <w:pStyle w:val="Heading1"/>
        <w:rPr/>
      </w:pPr>
      <w:bookmarkStart w:id="5" w:name="__RefHeading___Toc89859666"/>
      <w:r>
        <w:rPr/>
        <w:t>ВТОРА ТЕМА</w:t>
        <w:br/>
        <w:t>“ТРЕТАТА ВЪЗРАСТ” В СИСТЕМАТА НА  ПЕРИОДИЗАЦИЯТА НА ОНТОГЕНЕТИЧНОТО РАЗВИТИЕ НА ЧОВЕКА</w:t>
      </w:r>
      <w:bookmarkEnd w:id="5"/>
      <w:r>
        <w:rPr/>
        <w:t xml:space="preserve">  </w:t>
      </w:r>
    </w:p>
    <w:p>
      <w:pPr>
        <w:pStyle w:val="Heading2"/>
        <w:rPr/>
      </w:pPr>
      <w:bookmarkStart w:id="6" w:name="__RefHeading___Toc89859667"/>
      <w:bookmarkEnd w:id="6"/>
      <w:r>
        <w:rPr>
          <w:lang w:val="bg-BG"/>
        </w:rPr>
        <w:t>2.1. Преглед на по-известните  периодизации на човешкото развитие</w:t>
      </w:r>
    </w:p>
    <w:p>
      <w:pPr>
        <w:pStyle w:val="Heading3"/>
        <w:jc w:val="both"/>
        <w:rPr/>
      </w:pPr>
      <w:r>
        <w:rPr>
          <w:i/>
          <w:lang w:val="bg-BG"/>
        </w:rPr>
        <w:t>Споровете</w:t>
      </w:r>
      <w:r>
        <w:rPr>
          <w:b w:val="false"/>
          <w:lang w:val="bg-BG"/>
        </w:rPr>
        <w:t xml:space="preserve">  относно </w:t>
      </w:r>
      <w:r>
        <w:rPr>
          <w:i/>
          <w:lang w:val="bg-BG"/>
        </w:rPr>
        <w:t>периодизацията на  човешкия живот</w:t>
      </w:r>
      <w:r>
        <w:rPr>
          <w:b w:val="false"/>
          <w:lang w:val="bg-BG"/>
        </w:rPr>
        <w:t xml:space="preserve">  продължават да се водят и до днес. Все още няма единство между авторите при определяне периодите на жизнения цикъл на индивидуалното развитие на човека. Всичко живо в природата има периоди на своето развитие. Човекът също преминава през определени </w:t>
      </w:r>
      <w:r>
        <w:rPr>
          <w:i/>
          <w:lang w:val="bg-BG"/>
        </w:rPr>
        <w:t>цикли, стадии, фази</w:t>
      </w:r>
      <w:r>
        <w:rPr>
          <w:b w:val="false"/>
          <w:lang w:val="bg-BG"/>
        </w:rPr>
        <w:t xml:space="preserve"> или </w:t>
      </w:r>
      <w:r>
        <w:rPr>
          <w:i/>
          <w:lang w:val="bg-BG"/>
        </w:rPr>
        <w:t>етапи</w:t>
      </w:r>
      <w:r>
        <w:rPr>
          <w:b w:val="false"/>
          <w:lang w:val="bg-BG"/>
        </w:rPr>
        <w:t xml:space="preserve"> на развитие.  Сред млекопитаещите </w:t>
      </w:r>
      <w:r>
        <w:rPr>
          <w:i/>
          <w:lang w:val="bg-BG"/>
        </w:rPr>
        <w:t>Homo Sapiens</w:t>
      </w:r>
      <w:r>
        <w:rPr>
          <w:b w:val="false"/>
          <w:lang w:val="bg-BG"/>
        </w:rPr>
        <w:t xml:space="preserve"> заема едно от първите места по продължителност на живота, а сред приматите – първо място, което се обяснява с влиянието на труда, езика и много  други социално-исторически детерминанти. </w:t>
      </w:r>
    </w:p>
    <w:p>
      <w:pPr>
        <w:pStyle w:val="Heading3"/>
        <w:jc w:val="both"/>
        <w:rPr/>
      </w:pPr>
      <w:r>
        <w:rPr>
          <w:i/>
          <w:lang w:val="bg-BG"/>
        </w:rPr>
        <w:t>Жизнените периоди</w:t>
      </w:r>
      <w:r>
        <w:rPr>
          <w:b w:val="false"/>
          <w:lang w:val="bg-BG"/>
        </w:rPr>
        <w:t xml:space="preserve"> маркират сложния комплекс от  количествени и качествени изменения, които се обуславят от редица биологични и социални фактори. В основата на периодизацията на индивидуалното развитие на човека много от авторите поставят </w:t>
      </w:r>
      <w:r>
        <w:rPr>
          <w:i/>
          <w:lang w:val="bg-BG"/>
        </w:rPr>
        <w:t>календарната възраст</w:t>
      </w:r>
      <w:r>
        <w:rPr>
          <w:b w:val="false"/>
          <w:lang w:val="bg-BG"/>
        </w:rPr>
        <w:t xml:space="preserve">, но тя в никакъв случай не бива да се фетишизира, тъй като възрастта на индивида  не се определя еднозначно от навършените от него години. Б. Г. </w:t>
      </w:r>
      <w:r>
        <w:rPr>
          <w:lang w:val="bg-BG"/>
        </w:rPr>
        <w:t>Ананиев</w:t>
      </w:r>
      <w:r>
        <w:rPr>
          <w:b w:val="false"/>
          <w:lang w:val="bg-BG"/>
        </w:rPr>
        <w:t xml:space="preserve"> (5) образно нарича възрастта “</w:t>
      </w:r>
      <w:r>
        <w:rPr>
          <w:i/>
          <w:lang w:val="bg-BG"/>
        </w:rPr>
        <w:t>стрела на</w:t>
      </w:r>
      <w:r>
        <w:rPr>
          <w:b w:val="false"/>
          <w:lang w:val="bg-BG"/>
        </w:rPr>
        <w:t xml:space="preserve"> </w:t>
      </w:r>
      <w:r>
        <w:rPr>
          <w:i/>
          <w:lang w:val="bg-BG"/>
        </w:rPr>
        <w:t>времето</w:t>
      </w:r>
      <w:r>
        <w:rPr>
          <w:b w:val="false"/>
          <w:lang w:val="bg-BG"/>
        </w:rPr>
        <w:t xml:space="preserve">”, тъй като тя “лети” само напред и нагоре, без да може да се връща и да поема отново своя път. “Стрелата на времето” в индивидуалното развитие на човека според него характеризира топологичното свойство на времето – неговата еднопосочност, необратимост, едномерност, които се проявяват във фазовостта и строгата последователност на фазите, в хода на които </w:t>
      </w:r>
      <w:r>
        <w:rPr>
          <w:i/>
          <w:lang w:val="bg-BG"/>
        </w:rPr>
        <w:t>ритъмът</w:t>
      </w:r>
      <w:r>
        <w:rPr>
          <w:b w:val="false"/>
          <w:i/>
          <w:lang w:val="bg-BG"/>
        </w:rPr>
        <w:t xml:space="preserve"> и </w:t>
      </w:r>
      <w:r>
        <w:rPr>
          <w:i/>
          <w:lang w:val="bg-BG"/>
        </w:rPr>
        <w:t>скоростт</w:t>
      </w:r>
      <w:r>
        <w:rPr>
          <w:lang w:val="bg-BG"/>
        </w:rPr>
        <w:t>а</w:t>
      </w:r>
      <w:r>
        <w:rPr>
          <w:b w:val="false"/>
          <w:lang w:val="bg-BG"/>
        </w:rPr>
        <w:t xml:space="preserve"> на жизнените процеси могат да се менят” (25, с. 96). Животът показва, че съществуват твърде големи </w:t>
      </w:r>
      <w:r>
        <w:rPr>
          <w:i/>
          <w:lang w:val="bg-BG"/>
        </w:rPr>
        <w:t>индивидуални различия</w:t>
      </w:r>
      <w:r>
        <w:rPr>
          <w:b w:val="false"/>
          <w:lang w:val="bg-BG"/>
        </w:rPr>
        <w:t xml:space="preserve"> в здравословното състояние и  психическото развитие на хора на една и съща възраст. Конкретните обществени условия  моделират своеобразни възможности на психиката и позволяват да се определи т.нар. </w:t>
      </w:r>
      <w:r>
        <w:rPr>
          <w:i/>
          <w:lang w:val="bg-BG"/>
        </w:rPr>
        <w:t>социална</w:t>
      </w:r>
      <w:r>
        <w:rPr>
          <w:b w:val="false"/>
          <w:i/>
          <w:lang w:val="bg-BG"/>
        </w:rPr>
        <w:t xml:space="preserve"> </w:t>
      </w:r>
      <w:r>
        <w:rPr>
          <w:b w:val="false"/>
          <w:lang w:val="bg-BG"/>
        </w:rPr>
        <w:t xml:space="preserve">или </w:t>
      </w:r>
      <w:r>
        <w:rPr>
          <w:i/>
          <w:lang w:val="bg-BG"/>
        </w:rPr>
        <w:t>умствена</w:t>
      </w:r>
      <w:r>
        <w:rPr>
          <w:b w:val="false"/>
          <w:lang w:val="bg-BG"/>
        </w:rPr>
        <w:t xml:space="preserve"> </w:t>
      </w:r>
      <w:r>
        <w:rPr>
          <w:i/>
          <w:lang w:val="bg-BG"/>
        </w:rPr>
        <w:t>възраст</w:t>
      </w:r>
      <w:r>
        <w:rPr>
          <w:b w:val="false"/>
          <w:lang w:val="bg-BG"/>
        </w:rPr>
        <w:t xml:space="preserve">, която може да съответства, да изпреварва или да изостава от календарната възраст. </w:t>
      </w:r>
    </w:p>
    <w:p>
      <w:pPr>
        <w:pStyle w:val="Heading3"/>
        <w:jc w:val="both"/>
        <w:rPr/>
      </w:pPr>
      <w:r>
        <w:rPr>
          <w:b w:val="false"/>
          <w:lang w:val="bg-BG"/>
        </w:rPr>
        <w:t xml:space="preserve">Както всички живи същества, и човекът има биологически </w:t>
      </w:r>
      <w:r>
        <w:rPr>
          <w:i/>
          <w:lang w:val="bg-BG"/>
        </w:rPr>
        <w:t>онаследени особености</w:t>
      </w:r>
      <w:r>
        <w:rPr>
          <w:b w:val="false"/>
          <w:i/>
          <w:lang w:val="bg-BG"/>
        </w:rPr>
        <w:t>,</w:t>
      </w:r>
      <w:r>
        <w:rPr>
          <w:b w:val="false"/>
          <w:lang w:val="bg-BG"/>
        </w:rPr>
        <w:t xml:space="preserve"> които не трябва да се пренебрегват или подценяват. След раждането си обаче  той попада в неимоверно сложна природна и социална среда, чието многообразие от </w:t>
      </w:r>
      <w:r>
        <w:rPr>
          <w:i/>
          <w:lang w:val="bg-BG"/>
        </w:rPr>
        <w:t>динамично променящи се  фактори</w:t>
      </w:r>
      <w:r>
        <w:rPr>
          <w:b w:val="false"/>
          <w:lang w:val="bg-BG"/>
        </w:rPr>
        <w:t xml:space="preserve"> влияе  през целия му живот. Нещо повече. Определено въздействие  оказва начинът на живот още в утробата на майката – хранене, химически процеси, нервни травми и пр. Факторите в живота най-общо могат да бъдат разделени на </w:t>
      </w:r>
      <w:r>
        <w:rPr>
          <w:i/>
          <w:lang w:val="bg-BG"/>
        </w:rPr>
        <w:t>външни</w:t>
      </w:r>
      <w:r>
        <w:rPr>
          <w:b w:val="false"/>
          <w:lang w:val="bg-BG"/>
        </w:rPr>
        <w:t xml:space="preserve"> (природни и социални) и </w:t>
      </w:r>
      <w:r>
        <w:rPr>
          <w:i/>
          <w:lang w:val="bg-BG"/>
        </w:rPr>
        <w:t>вътрешни</w:t>
      </w:r>
      <w:r>
        <w:rPr>
          <w:b w:val="false"/>
          <w:i/>
          <w:lang w:val="bg-BG"/>
        </w:rPr>
        <w:t xml:space="preserve"> </w:t>
      </w:r>
      <w:r>
        <w:rPr>
          <w:b w:val="false"/>
          <w:lang w:val="bg-BG"/>
        </w:rPr>
        <w:t xml:space="preserve">(състояния, потребности, навици и др.). Но човек е не само обект на въздействия, а и </w:t>
      </w:r>
      <w:r>
        <w:rPr>
          <w:i/>
          <w:lang w:val="bg-BG"/>
        </w:rPr>
        <w:t>активен субект</w:t>
      </w:r>
      <w:r>
        <w:rPr>
          <w:b w:val="false"/>
          <w:lang w:val="bg-BG"/>
        </w:rPr>
        <w:t xml:space="preserve">, който има възможност да избира, да избягва едни и да направлява други, да концентрира   своята енергия  по посока  на потребностите и интересите си. С други думи, от самия него до голяма степен зависи качеството, а и продължителността на живота му. </w:t>
      </w:r>
    </w:p>
    <w:p>
      <w:pPr>
        <w:pStyle w:val="Heading3"/>
        <w:jc w:val="both"/>
        <w:rPr/>
      </w:pPr>
      <w:r>
        <w:rPr>
          <w:b w:val="false"/>
          <w:lang w:val="bg-BG"/>
        </w:rPr>
        <w:t xml:space="preserve">В съвременни условия е налице тенденцията за </w:t>
      </w:r>
      <w:r>
        <w:rPr>
          <w:i/>
          <w:lang w:val="bg-BG"/>
        </w:rPr>
        <w:t>удължаване продължителността</w:t>
      </w:r>
      <w:r>
        <w:rPr>
          <w:b w:val="false"/>
          <w:lang w:val="bg-BG"/>
        </w:rPr>
        <w:t xml:space="preserve"> на човешкия живот. Така например докато в древността, в средните векове и до ХVІІ век само около 1 % от хората са достигали до 65-годишна възраст, в началото на ХІХ век – около 4 %, а сега се посочва, че около   70 % от населението на Западна Европа живее повече от 65 години и от 30 до 40 % - над 80 г. С основание  пред учените и изследователите  възникват редица проблеми: “Кои са най-важните фактори, благоприятстващи за удължаване на човешкия живот?”; “Кои негативни процеси и явления препятстват дълголетието?”; “Как да се оползотворява пълноценно нарастващото дълголетие на хората?” и пр.</w:t>
      </w:r>
    </w:p>
    <w:p>
      <w:pPr>
        <w:pStyle w:val="Heading3"/>
        <w:jc w:val="both"/>
        <w:rPr/>
      </w:pPr>
      <w:r>
        <w:rPr>
          <w:b w:val="false"/>
          <w:lang w:val="bg-BG"/>
        </w:rPr>
        <w:t xml:space="preserve">Още в древността </w:t>
      </w:r>
      <w:r>
        <w:rPr>
          <w:i/>
          <w:lang w:val="bg-BG"/>
        </w:rPr>
        <w:t>дълголетието</w:t>
      </w:r>
      <w:r>
        <w:rPr>
          <w:b w:val="false"/>
          <w:lang w:val="bg-BG"/>
        </w:rPr>
        <w:t xml:space="preserve"> на някои хора е правило силно впечатление. По това време широко са рекламирани и продавани от различни знахари и набедени учени “камъни на безсмъртието”, “жизнени елексири” и други подобни средства с подмладяваща цел.  Посочвани са и фантастично високи години на дълголетие. Например  според библейските историци </w:t>
      </w:r>
      <w:r>
        <w:rPr>
          <w:lang w:val="bg-BG"/>
        </w:rPr>
        <w:t xml:space="preserve">Ной </w:t>
      </w:r>
      <w:r>
        <w:rPr>
          <w:b w:val="false"/>
          <w:lang w:val="bg-BG"/>
        </w:rPr>
        <w:t xml:space="preserve">е живял 950 години, </w:t>
      </w:r>
      <w:r>
        <w:rPr>
          <w:lang w:val="bg-BG"/>
        </w:rPr>
        <w:t>Адам</w:t>
      </w:r>
      <w:r>
        <w:rPr>
          <w:b w:val="false"/>
          <w:lang w:val="bg-BG"/>
        </w:rPr>
        <w:t xml:space="preserve"> – 930.  В папируси на философи се съобщава, че илириецът </w:t>
      </w:r>
      <w:r>
        <w:rPr>
          <w:lang w:val="bg-BG"/>
        </w:rPr>
        <w:t>Дантон</w:t>
      </w:r>
      <w:r>
        <w:rPr>
          <w:b w:val="false"/>
          <w:lang w:val="bg-BG"/>
        </w:rPr>
        <w:t xml:space="preserve"> е починал на 500-годишна възраст. </w:t>
      </w:r>
    </w:p>
    <w:p>
      <w:pPr>
        <w:pStyle w:val="Heading3"/>
        <w:jc w:val="both"/>
        <w:rPr/>
      </w:pPr>
      <w:r>
        <w:rPr>
          <w:b w:val="false"/>
          <w:lang w:val="bg-BG"/>
        </w:rPr>
        <w:t xml:space="preserve">С изясняването на  интимните механизми на дълголетието се заемат още </w:t>
      </w:r>
      <w:r>
        <w:rPr>
          <w:lang w:val="bg-BG"/>
        </w:rPr>
        <w:t>Хипократ, Аристотел, Сенека, Гален, Авицена</w:t>
      </w:r>
      <w:r>
        <w:rPr>
          <w:b w:val="false"/>
          <w:lang w:val="bg-BG"/>
        </w:rPr>
        <w:t xml:space="preserve"> и други древни учени. Хипократ например издига като основен принцип: умереност във всичко. Гален и Авицена високо ценят двигателната активност. </w:t>
      </w:r>
    </w:p>
    <w:p>
      <w:pPr>
        <w:pStyle w:val="Heading3"/>
        <w:jc w:val="both"/>
        <w:rPr/>
      </w:pPr>
      <w:r>
        <w:rPr>
          <w:b w:val="false"/>
          <w:lang w:val="bg-BG"/>
        </w:rPr>
        <w:t xml:space="preserve">Съществуват сведения, че </w:t>
      </w:r>
      <w:r>
        <w:rPr>
          <w:i/>
          <w:lang w:val="bg-BG"/>
        </w:rPr>
        <w:t>първи опити</w:t>
      </w:r>
      <w:r>
        <w:rPr>
          <w:b w:val="false"/>
          <w:lang w:val="bg-BG"/>
        </w:rPr>
        <w:t xml:space="preserve"> за периодизация на човешкия живот са направени още от  древногръцките философи.  </w:t>
      </w:r>
      <w:r>
        <w:rPr>
          <w:lang w:val="bg-BG"/>
        </w:rPr>
        <w:t>Питагор</w:t>
      </w:r>
      <w:r>
        <w:rPr>
          <w:b w:val="false"/>
          <w:lang w:val="bg-BG"/>
        </w:rPr>
        <w:t xml:space="preserve"> разграничава четири периода, които нарича сезони по аналогия с годишните времена: пролет, лято, есен, зима. Всеки “сезон” според него продължава по 20 години. </w:t>
      </w:r>
      <w:r>
        <w:rPr>
          <w:lang w:val="bg-BG"/>
        </w:rPr>
        <w:t>Аристотел</w:t>
      </w:r>
      <w:r>
        <w:rPr>
          <w:b w:val="false"/>
          <w:lang w:val="bg-BG"/>
        </w:rPr>
        <w:t xml:space="preserve"> взимал за основа на периодизацията физическото развитие. Той говори за юношество, зряла възраст и старост. Според него тялото достига цветуща възраст от 30 до 35 години, а душата – на около 49 години. Поколението на юношите се счита за всезнаещо. То жадува за превъзходство и следва предимно удоволствието и наслаждението. Хората от зрялата възраст умело съчетават храбростта с благоразумението. А старите хора са егоисти и живеят предимно със спомените си. </w:t>
      </w:r>
    </w:p>
    <w:p>
      <w:pPr>
        <w:pStyle w:val="Heading3"/>
        <w:jc w:val="both"/>
        <w:rPr/>
      </w:pPr>
      <w:r>
        <w:rPr>
          <w:i/>
          <w:lang w:val="bg-BG"/>
        </w:rPr>
        <w:t>Римляните</w:t>
      </w:r>
      <w:r>
        <w:rPr>
          <w:b w:val="false"/>
          <w:lang w:val="bg-BG"/>
        </w:rPr>
        <w:t xml:space="preserve"> делели жизнения път на човека на пет фази: 1) детство (pueritia); 2) юношество (adolescentia); 3) мъжка възраст (juventus); 4) зряла мъжка възраст (virilitas); 5) старческа възраст (senectus). В </w:t>
      </w:r>
      <w:r>
        <w:rPr>
          <w:i/>
          <w:lang w:val="bg-BG"/>
        </w:rPr>
        <w:t>Древен Китай</w:t>
      </w:r>
      <w:r>
        <w:rPr>
          <w:b w:val="false"/>
          <w:lang w:val="bg-BG"/>
        </w:rPr>
        <w:t xml:space="preserve"> периодизацията е в зависимост от извършваните жизнени дейности и функции. Например времето от 20 до 30 години се определя като период за сключване на брак; периодът на заемане на определена обществена дейност е в границите между 30-40 години. Времето за осъзнаване на собствените заблуди е от 40 до 50 години, а последният период за творчески изяви обхваща 50-60-те години.</w:t>
      </w:r>
    </w:p>
    <w:p>
      <w:pPr>
        <w:pStyle w:val="Heading3"/>
        <w:jc w:val="both"/>
        <w:rPr/>
      </w:pPr>
      <w:r>
        <w:rPr>
          <w:b w:val="false"/>
          <w:lang w:val="bg-BG"/>
        </w:rPr>
        <w:t xml:space="preserve">Има </w:t>
      </w:r>
      <w:r>
        <w:rPr>
          <w:i/>
          <w:lang w:val="bg-BG"/>
        </w:rPr>
        <w:t>периодизации</w:t>
      </w:r>
      <w:r>
        <w:rPr>
          <w:b w:val="false"/>
          <w:lang w:val="bg-BG"/>
        </w:rPr>
        <w:t xml:space="preserve">,  които делят човешкия живот  само на четири фази: детство, юношество, мъжки години и старост. При това продължителността на  отделните периоди не винаги се фиксира точно. </w:t>
      </w:r>
    </w:p>
    <w:p>
      <w:pPr>
        <w:pStyle w:val="Heading3"/>
        <w:jc w:val="both"/>
        <w:rPr/>
      </w:pPr>
      <w:r>
        <w:rPr>
          <w:b w:val="false"/>
          <w:lang w:val="bg-BG"/>
        </w:rPr>
        <w:t xml:space="preserve">В по-ново време се предлагат твърде много  периодизации, които обикновено обхващат времето </w:t>
      </w:r>
      <w:r>
        <w:rPr>
          <w:i/>
          <w:lang w:val="bg-BG"/>
        </w:rPr>
        <w:t>от раждането до навършване на 18-20 годишна възраст</w:t>
      </w:r>
      <w:r>
        <w:rPr>
          <w:b w:val="false"/>
          <w:lang w:val="bg-BG"/>
        </w:rPr>
        <w:t xml:space="preserve"> в съответствие с разбирането, че по-нататък развитието като възходящ процес се прекратява и отпада необходимостта от по-нататъшно диференциране на възрастови периоди (т.нар. “</w:t>
      </w:r>
      <w:r>
        <w:rPr>
          <w:i/>
          <w:lang w:val="bg-BG"/>
        </w:rPr>
        <w:t>психическа вкамененост</w:t>
      </w:r>
      <w:r>
        <w:rPr>
          <w:b w:val="false"/>
          <w:lang w:val="bg-BG"/>
        </w:rPr>
        <w:t xml:space="preserve">” по израза на Е. </w:t>
      </w:r>
      <w:r>
        <w:rPr>
          <w:lang w:val="bg-BG"/>
        </w:rPr>
        <w:t>Клапаред</w:t>
      </w:r>
      <w:r>
        <w:rPr>
          <w:b w:val="false"/>
          <w:lang w:val="bg-BG"/>
        </w:rPr>
        <w:t xml:space="preserve">). Още през 1911 г. в своя труд  “Психология на детето и експериментална педагогика” той пише: “Възрастността на човека е равносилна на спиране на развитието, на вкаменяване; целта на детството е да отместим колкото е възможно по-далече минутата, когато нашето същество ще престане да се развива, когато то застива, приема определена форма, подобна на късче желязо, изстудено от ковача” (цит. по 14,с.12). При това в зависимост от целите, за които се изграждат, а също и от признаците, които се приемат за основни, се разграничават предимно </w:t>
      </w:r>
      <w:r>
        <w:rPr>
          <w:i/>
          <w:lang w:val="bg-BG"/>
        </w:rPr>
        <w:t>биологически, социологически, психологически, антропологически</w:t>
      </w:r>
      <w:r>
        <w:rPr>
          <w:b w:val="false"/>
          <w:lang w:val="bg-BG"/>
        </w:rPr>
        <w:t xml:space="preserve"> и др. периодизации. </w:t>
      </w:r>
    </w:p>
    <w:p>
      <w:pPr>
        <w:pStyle w:val="Heading3"/>
        <w:jc w:val="both"/>
        <w:rPr/>
      </w:pPr>
      <w:r>
        <w:rPr>
          <w:b w:val="false"/>
          <w:lang w:val="bg-BG"/>
        </w:rPr>
        <w:t xml:space="preserve">Така например руският педагог П. </w:t>
      </w:r>
      <w:r>
        <w:rPr>
          <w:lang w:val="bg-BG"/>
        </w:rPr>
        <w:t>Блонски</w:t>
      </w:r>
      <w:r>
        <w:rPr>
          <w:b w:val="false"/>
          <w:lang w:val="bg-BG"/>
        </w:rPr>
        <w:t xml:space="preserve"> обособява жизнените цикли на </w:t>
      </w:r>
      <w:r>
        <w:rPr>
          <w:i/>
          <w:lang w:val="bg-BG"/>
        </w:rPr>
        <w:t>биологична основа</w:t>
      </w:r>
      <w:r>
        <w:rPr>
          <w:b w:val="false"/>
          <w:lang w:val="bg-BG"/>
        </w:rPr>
        <w:t xml:space="preserve">. В зависимост от появяването на млечните и на постоянните зъби той разграничава: 1) период на новороденото – до 7 дни; 2) бозайнически период – до 2 г.; 3) период на млечните зъби – от 2 до 6½ -7 г.; 4) период на постоянните зъби – от 7 до 20 г. Това е наистина важен, но не и единствен фактор, който оказва влияние върху развитието на човека. </w:t>
      </w:r>
    </w:p>
    <w:p>
      <w:pPr>
        <w:pStyle w:val="Heading3"/>
        <w:jc w:val="both"/>
        <w:rPr/>
      </w:pPr>
      <w:r>
        <w:rPr>
          <w:b w:val="false"/>
          <w:lang w:val="bg-BG"/>
        </w:rPr>
        <w:t xml:space="preserve">Зигмунт </w:t>
      </w:r>
      <w:r>
        <w:rPr>
          <w:lang w:val="bg-BG"/>
        </w:rPr>
        <w:t>Фройд</w:t>
      </w:r>
      <w:r>
        <w:rPr>
          <w:b w:val="false"/>
          <w:lang w:val="bg-BG"/>
        </w:rPr>
        <w:t xml:space="preserve"> също ограничава човешкото развитие от детството до зрелостта. В  зависимост от сексуалните промени в поведението </w:t>
      </w:r>
      <w:r>
        <w:rPr>
          <w:i/>
          <w:lang w:val="bg-BG"/>
        </w:rPr>
        <w:t>либидоналното</w:t>
      </w:r>
      <w:r>
        <w:rPr>
          <w:b w:val="false"/>
          <w:i/>
          <w:lang w:val="bg-BG"/>
        </w:rPr>
        <w:t xml:space="preserve"> </w:t>
      </w:r>
      <w:r>
        <w:rPr>
          <w:i/>
          <w:lang w:val="bg-BG"/>
        </w:rPr>
        <w:t>развитие</w:t>
      </w:r>
      <w:r>
        <w:rPr>
          <w:lang w:val="bg-BG"/>
        </w:rPr>
        <w:t xml:space="preserve"> </w:t>
      </w:r>
      <w:r>
        <w:rPr>
          <w:b w:val="false"/>
          <w:lang w:val="bg-BG"/>
        </w:rPr>
        <w:t xml:space="preserve"> според него преминава през няколко етапа до настъпване на полова зрелост: орален, анален, фалосен, етап на едипов комплекс, латентен период и пубертет. Фазата “латентност” поддържа акцента върху развитието на сексуалното влечение в несъзнателна форма и продължава до пубертета. Последната (гениталната) фаза се характеризира с формирането на активни сексуални интереси. През тази фаза именно според Фройд личността се приспособява към зрялата възраст. </w:t>
      </w:r>
    </w:p>
    <w:p>
      <w:pPr>
        <w:pStyle w:val="Heading3"/>
        <w:jc w:val="both"/>
        <w:rPr/>
      </w:pPr>
      <w:r>
        <w:rPr>
          <w:b w:val="false"/>
          <w:lang w:val="bg-BG"/>
        </w:rPr>
        <w:t xml:space="preserve">Според австралийската психоложка Шарлота </w:t>
      </w:r>
      <w:r>
        <w:rPr>
          <w:lang w:val="bg-BG"/>
        </w:rPr>
        <w:t>Бюлер</w:t>
      </w:r>
      <w:r>
        <w:rPr>
          <w:b w:val="false"/>
          <w:lang w:val="bg-BG"/>
        </w:rPr>
        <w:t xml:space="preserve"> редуването и особеностите на периодите на човешкия живот се определят преди всичко от неговото биологично развитие. В </w:t>
      </w:r>
      <w:r>
        <w:rPr>
          <w:i/>
          <w:lang w:val="bg-BG"/>
        </w:rPr>
        <w:t>биологичната крива   на живота</w:t>
      </w:r>
      <w:r>
        <w:rPr>
          <w:b w:val="false"/>
          <w:lang w:val="bg-BG"/>
        </w:rPr>
        <w:t>, която според авторката, е една и съща за всички хора, тя разграничава пет относително устойчиви фази:</w:t>
      </w:r>
    </w:p>
    <w:p>
      <w:pPr>
        <w:pStyle w:val="Heading3"/>
        <w:numPr>
          <w:ilvl w:val="0"/>
          <w:numId w:val="76"/>
        </w:numPr>
        <w:tabs>
          <w:tab w:val="clear" w:pos="284"/>
          <w:tab w:val="left" w:pos="927" w:leader="none"/>
        </w:tabs>
        <w:ind w:left="927" w:hanging="360"/>
        <w:jc w:val="both"/>
        <w:rPr>
          <w:b w:val="false"/>
          <w:b w:val="false"/>
          <w:lang w:val="bg-BG"/>
        </w:rPr>
      </w:pPr>
      <w:r>
        <w:rPr>
          <w:b w:val="false"/>
          <w:lang w:val="bg-BG"/>
        </w:rPr>
        <w:t>от раждането до 15 години;</w:t>
      </w:r>
    </w:p>
    <w:p>
      <w:pPr>
        <w:pStyle w:val="Heading3"/>
        <w:numPr>
          <w:ilvl w:val="0"/>
          <w:numId w:val="76"/>
        </w:numPr>
        <w:tabs>
          <w:tab w:val="clear" w:pos="284"/>
          <w:tab w:val="left" w:pos="927" w:leader="none"/>
        </w:tabs>
        <w:ind w:left="927" w:hanging="360"/>
        <w:jc w:val="both"/>
        <w:rPr>
          <w:b w:val="false"/>
          <w:b w:val="false"/>
          <w:lang w:val="bg-BG"/>
        </w:rPr>
      </w:pPr>
      <w:r>
        <w:rPr>
          <w:b w:val="false"/>
          <w:lang w:val="bg-BG"/>
        </w:rPr>
        <w:t>от 15 до 25 години</w:t>
      </w:r>
    </w:p>
    <w:p>
      <w:pPr>
        <w:pStyle w:val="Heading3"/>
        <w:numPr>
          <w:ilvl w:val="0"/>
          <w:numId w:val="76"/>
        </w:numPr>
        <w:tabs>
          <w:tab w:val="clear" w:pos="284"/>
          <w:tab w:val="left" w:pos="927" w:leader="none"/>
        </w:tabs>
        <w:ind w:left="927" w:hanging="360"/>
        <w:jc w:val="both"/>
        <w:rPr>
          <w:b w:val="false"/>
          <w:b w:val="false"/>
          <w:lang w:val="bg-BG"/>
        </w:rPr>
      </w:pPr>
      <w:r>
        <w:rPr>
          <w:b w:val="false"/>
          <w:lang w:val="bg-BG"/>
        </w:rPr>
        <w:t xml:space="preserve">от 25 до 50 години; </w:t>
      </w:r>
    </w:p>
    <w:p>
      <w:pPr>
        <w:pStyle w:val="Heading3"/>
        <w:numPr>
          <w:ilvl w:val="0"/>
          <w:numId w:val="76"/>
        </w:numPr>
        <w:tabs>
          <w:tab w:val="clear" w:pos="284"/>
          <w:tab w:val="left" w:pos="927" w:leader="none"/>
        </w:tabs>
        <w:ind w:left="927" w:hanging="360"/>
        <w:jc w:val="both"/>
        <w:rPr>
          <w:b w:val="false"/>
          <w:b w:val="false"/>
          <w:lang w:val="bg-BG"/>
        </w:rPr>
      </w:pPr>
      <w:r>
        <w:rPr>
          <w:b w:val="false"/>
          <w:lang w:val="bg-BG"/>
        </w:rPr>
        <w:t>от 50 до 60 години;</w:t>
      </w:r>
    </w:p>
    <w:p>
      <w:pPr>
        <w:pStyle w:val="Heading3"/>
        <w:numPr>
          <w:ilvl w:val="0"/>
          <w:numId w:val="76"/>
        </w:numPr>
        <w:tabs>
          <w:tab w:val="clear" w:pos="284"/>
          <w:tab w:val="left" w:pos="927" w:leader="none"/>
        </w:tabs>
        <w:ind w:left="927" w:hanging="360"/>
        <w:jc w:val="both"/>
        <w:rPr>
          <w:b w:val="false"/>
          <w:b w:val="false"/>
          <w:lang w:val="bg-BG"/>
        </w:rPr>
      </w:pPr>
      <w:r>
        <w:rPr>
          <w:b w:val="false"/>
          <w:lang w:val="bg-BG"/>
        </w:rPr>
        <w:t>от 60 години до края на живота.</w:t>
      </w:r>
    </w:p>
    <w:p>
      <w:pPr>
        <w:pStyle w:val="Heading3"/>
        <w:ind w:left="60" w:firstLine="567"/>
        <w:jc w:val="both"/>
        <w:rPr>
          <w:b w:val="false"/>
          <w:b w:val="false"/>
          <w:lang w:val="bg-BG"/>
        </w:rPr>
      </w:pPr>
      <w:r>
        <w:rPr>
          <w:b w:val="false"/>
          <w:lang w:val="bg-BG"/>
        </w:rPr>
        <w:t xml:space="preserve">Периодът от 25 до 50 години се определя като най-продуктивен. След 50-годишна възраст праволинейната възходяща крива постепенно започва да променя посоката си. </w:t>
      </w:r>
    </w:p>
    <w:p>
      <w:pPr>
        <w:pStyle w:val="Heading3"/>
        <w:ind w:left="60" w:firstLine="567"/>
        <w:jc w:val="both"/>
        <w:rPr/>
      </w:pPr>
      <w:r>
        <w:rPr>
          <w:i/>
          <w:lang w:val="bg-BG"/>
        </w:rPr>
        <w:t>Фазовостта</w:t>
      </w:r>
      <w:r>
        <w:rPr>
          <w:lang w:val="bg-BG"/>
        </w:rPr>
        <w:t xml:space="preserve"> </w:t>
      </w:r>
      <w:r>
        <w:rPr>
          <w:b w:val="false"/>
          <w:lang w:val="bg-BG"/>
        </w:rPr>
        <w:t xml:space="preserve">като основен принцип на периодизацията се приема и от М. </w:t>
      </w:r>
      <w:r>
        <w:rPr>
          <w:lang w:val="bg-BG"/>
        </w:rPr>
        <w:t>Мьорз</w:t>
      </w:r>
      <w:r>
        <w:rPr>
          <w:b w:val="false"/>
          <w:lang w:val="bg-BG"/>
        </w:rPr>
        <w:t>. В книгата си “Фазите на развитие на човешкия живот” авторката избира за основен принцип ендогенните психични фактори, а именно силата на влеченията и  стремежите на човека. Подобно на Ш. Бюлер, тя също приема, че съществуват четири основни импулса: 1) влечение; 2) жизнено-психични стремежи; 3) веществени стремежи; 4) духовни стремежи. Авторката обособява шест фази на живота:</w:t>
      </w:r>
    </w:p>
    <w:p>
      <w:pPr>
        <w:pStyle w:val="Heading3"/>
        <w:numPr>
          <w:ilvl w:val="0"/>
          <w:numId w:val="76"/>
        </w:numPr>
        <w:tabs>
          <w:tab w:val="clear" w:pos="284"/>
          <w:tab w:val="left" w:pos="928" w:leader="none"/>
        </w:tabs>
        <w:ind w:left="928" w:hanging="360"/>
        <w:jc w:val="both"/>
        <w:rPr>
          <w:b w:val="false"/>
          <w:b w:val="false"/>
          <w:lang w:val="bg-BG"/>
        </w:rPr>
      </w:pPr>
      <w:r>
        <w:rPr>
          <w:b w:val="false"/>
          <w:lang w:val="bg-BG"/>
        </w:rPr>
        <w:t>първа фаза ( 0 – 20 г.): детство и юношество;</w:t>
      </w:r>
    </w:p>
    <w:p>
      <w:pPr>
        <w:pStyle w:val="Heading3"/>
        <w:numPr>
          <w:ilvl w:val="0"/>
          <w:numId w:val="76"/>
        </w:numPr>
        <w:tabs>
          <w:tab w:val="clear" w:pos="284"/>
          <w:tab w:val="left" w:pos="928" w:leader="none"/>
        </w:tabs>
        <w:ind w:left="928" w:hanging="360"/>
        <w:jc w:val="both"/>
        <w:rPr>
          <w:b w:val="false"/>
          <w:b w:val="false"/>
          <w:lang w:val="bg-BG"/>
        </w:rPr>
      </w:pPr>
      <w:r>
        <w:rPr>
          <w:b w:val="false"/>
          <w:lang w:val="bg-BG"/>
        </w:rPr>
        <w:t>втора фаза (21-30 г.): първа фаза на съзряване – подчертано младежка фаза на съзряване;</w:t>
      </w:r>
    </w:p>
    <w:p>
      <w:pPr>
        <w:pStyle w:val="Heading3"/>
        <w:numPr>
          <w:ilvl w:val="0"/>
          <w:numId w:val="76"/>
        </w:numPr>
        <w:tabs>
          <w:tab w:val="clear" w:pos="284"/>
          <w:tab w:val="left" w:pos="928" w:leader="none"/>
        </w:tabs>
        <w:ind w:left="928" w:hanging="360"/>
        <w:jc w:val="both"/>
        <w:rPr>
          <w:b w:val="false"/>
          <w:b w:val="false"/>
          <w:lang w:val="bg-BG"/>
        </w:rPr>
      </w:pPr>
      <w:r>
        <w:rPr>
          <w:b w:val="false"/>
          <w:lang w:val="bg-BG"/>
        </w:rPr>
        <w:t>трета фаза (31-44 г.): втора фаза на съзряване – сърцевината на човешкия живот;</w:t>
      </w:r>
    </w:p>
    <w:p>
      <w:pPr>
        <w:pStyle w:val="Heading3"/>
        <w:numPr>
          <w:ilvl w:val="0"/>
          <w:numId w:val="76"/>
        </w:numPr>
        <w:tabs>
          <w:tab w:val="clear" w:pos="284"/>
          <w:tab w:val="left" w:pos="928" w:leader="none"/>
        </w:tabs>
        <w:ind w:left="928" w:hanging="360"/>
        <w:jc w:val="both"/>
        <w:rPr>
          <w:b w:val="false"/>
          <w:b w:val="false"/>
          <w:lang w:val="bg-BG"/>
        </w:rPr>
      </w:pPr>
      <w:r>
        <w:rPr>
          <w:b w:val="false"/>
          <w:lang w:val="bg-BG"/>
        </w:rPr>
        <w:t>четвърта фаза (45-55 г.): трета фаза на съзряване – времето на кризата и самосъзнаването;</w:t>
      </w:r>
    </w:p>
    <w:p>
      <w:pPr>
        <w:pStyle w:val="Heading3"/>
        <w:numPr>
          <w:ilvl w:val="0"/>
          <w:numId w:val="76"/>
        </w:numPr>
        <w:tabs>
          <w:tab w:val="clear" w:pos="284"/>
          <w:tab w:val="left" w:pos="928" w:leader="none"/>
        </w:tabs>
        <w:ind w:left="928" w:hanging="360"/>
        <w:jc w:val="both"/>
        <w:rPr>
          <w:b w:val="false"/>
          <w:b w:val="false"/>
          <w:lang w:val="bg-BG"/>
        </w:rPr>
      </w:pPr>
      <w:r>
        <w:rPr>
          <w:b w:val="false"/>
          <w:lang w:val="bg-BG"/>
        </w:rPr>
        <w:t xml:space="preserve">пета (56-68 г.) и шеста ( от 69 г. до края на живота)  фази – двете последни  възрастови фази. </w:t>
      </w:r>
    </w:p>
    <w:p>
      <w:pPr>
        <w:pStyle w:val="Heading3"/>
        <w:jc w:val="both"/>
        <w:rPr/>
      </w:pPr>
      <w:r>
        <w:rPr>
          <w:b w:val="false"/>
          <w:lang w:val="bg-BG"/>
        </w:rPr>
        <w:t xml:space="preserve">Периодизациите, в основата на които се поставя един или друг </w:t>
      </w:r>
      <w:r>
        <w:rPr>
          <w:i/>
          <w:lang w:val="bg-BG"/>
        </w:rPr>
        <w:t>биологичен</w:t>
      </w:r>
      <w:r>
        <w:rPr>
          <w:lang w:val="bg-BG"/>
        </w:rPr>
        <w:t xml:space="preserve"> </w:t>
      </w:r>
      <w:r>
        <w:rPr>
          <w:i/>
          <w:lang w:val="bg-BG"/>
        </w:rPr>
        <w:t>признак</w:t>
      </w:r>
      <w:r>
        <w:rPr>
          <w:b w:val="false"/>
          <w:i/>
          <w:lang w:val="bg-BG"/>
        </w:rPr>
        <w:t>,</w:t>
      </w:r>
      <w:r>
        <w:rPr>
          <w:b w:val="false"/>
          <w:lang w:val="bg-BG"/>
        </w:rPr>
        <w:t xml:space="preserve"> не отчитат в достатъчна степен  ролята на дейността, извършвана от индивида,  значението й за промените, които настъпват в цялостното му психическо и личностно развитие. С по-голяма или по-малка  едностранчивост се отличават и  “чисто” </w:t>
      </w:r>
      <w:r>
        <w:rPr>
          <w:i/>
          <w:lang w:val="bg-BG"/>
        </w:rPr>
        <w:t>социологическите периодизации</w:t>
      </w:r>
      <w:r>
        <w:rPr>
          <w:b w:val="false"/>
          <w:lang w:val="bg-BG"/>
        </w:rPr>
        <w:t xml:space="preserve">.  </w:t>
      </w:r>
    </w:p>
    <w:p>
      <w:pPr>
        <w:pStyle w:val="Heading3"/>
        <w:jc w:val="both"/>
        <w:rPr/>
      </w:pPr>
      <w:r>
        <w:rPr>
          <w:b w:val="false"/>
          <w:lang w:val="bg-BG"/>
        </w:rPr>
        <w:t xml:space="preserve">Като  пример  може да се посочи периодизацията на американският учен </w:t>
      </w:r>
      <w:r>
        <w:rPr>
          <w:lang w:val="bg-BG"/>
        </w:rPr>
        <w:t xml:space="preserve">Хъдчинсън, </w:t>
      </w:r>
      <w:r>
        <w:rPr>
          <w:b w:val="false"/>
          <w:lang w:val="bg-BG"/>
        </w:rPr>
        <w:t xml:space="preserve">който   “пренамира” историческите епохи в онтогенеза. Той обособява: 1) стадий на риене и копаене (който продължава от 1 до 5 г.); 2) стадий на лова и хващането (от 5 до 9 г., характеризиращ се с жестокост и равнодушие към страданията на другите); 3) пастирски стадий (от 9 до 12 г., отличаващ се със стремеж на детето да си има колиба и свои животни); 4) земеделски стадий (от 12 до 16 г., характеризиращ се с любов към градинарството); 5) стадий на търговията и промишлеността (от 14 г. нататък, отличаващ се с признаване ценността на аритметиката, с изискване за заплащане на услугите и пр.). </w:t>
      </w:r>
    </w:p>
    <w:p>
      <w:pPr>
        <w:pStyle w:val="Heading3"/>
        <w:jc w:val="both"/>
        <w:rPr/>
      </w:pPr>
      <w:r>
        <w:rPr>
          <w:b w:val="false"/>
          <w:lang w:val="bg-BG"/>
        </w:rPr>
        <w:t>В</w:t>
      </w:r>
      <w:r>
        <w:rPr>
          <w:lang w:val="bg-BG"/>
        </w:rPr>
        <w:t>. Щерн</w:t>
      </w:r>
      <w:r>
        <w:rPr>
          <w:b w:val="false"/>
          <w:lang w:val="bg-BG"/>
        </w:rPr>
        <w:t xml:space="preserve"> прави опит да изгради своята периодизация въз основа на </w:t>
      </w:r>
      <w:r>
        <w:rPr>
          <w:i/>
          <w:lang w:val="bg-BG"/>
        </w:rPr>
        <w:t xml:space="preserve">смесен критерий </w:t>
      </w:r>
      <w:r>
        <w:rPr>
          <w:b w:val="false"/>
          <w:lang w:val="bg-BG"/>
        </w:rPr>
        <w:t xml:space="preserve">– </w:t>
      </w:r>
      <w:r>
        <w:rPr>
          <w:i/>
          <w:lang w:val="bg-BG"/>
        </w:rPr>
        <w:t>биологически и социологически</w:t>
      </w:r>
      <w:r>
        <w:rPr>
          <w:b w:val="false"/>
          <w:lang w:val="bg-BG"/>
        </w:rPr>
        <w:t>. Той разглежда  протичането на човешкия живот като “</w:t>
      </w:r>
      <w:r>
        <w:rPr>
          <w:i/>
          <w:lang w:val="bg-BG"/>
        </w:rPr>
        <w:t>голяма динамична пирамида</w:t>
      </w:r>
      <w:r>
        <w:rPr>
          <w:b w:val="false"/>
          <w:lang w:val="bg-BG"/>
        </w:rPr>
        <w:t xml:space="preserve">”. Според него детето през първите месеци от живота си се намирало на стадия на млекопитаещите животни; през второто полугодие, когато се развиват движенията на хващането и подражанието, то достигало стадия на висшите млекопитаещи – маймуните, а през втората година, когато овладява вертикалната стойка и речта, достига стадия на човека. При характеризиране на по-късните етапи на онтогенезата Щерн прави паралел между историческото и индивидуалното развитие. За първите 5 години според автора детето достига степента на първобитния човек, а през училищните години то достига периода на културата. Не е трудно да се забележи механичното съчетание на чисто биологични и на чисто социологически признаци.  </w:t>
      </w:r>
    </w:p>
    <w:p>
      <w:pPr>
        <w:pStyle w:val="Heading3"/>
        <w:jc w:val="both"/>
        <w:rPr/>
      </w:pPr>
      <w:r>
        <w:rPr>
          <w:b w:val="false"/>
          <w:lang w:val="bg-BG"/>
        </w:rPr>
        <w:t xml:space="preserve">Един от най-значителните опити за периодизация на  човешкия живот принадлежи на  американския психоаналитик от немски произход Ерик Х. </w:t>
      </w:r>
      <w:r>
        <w:rPr>
          <w:lang w:val="bg-BG"/>
        </w:rPr>
        <w:t xml:space="preserve">Ериксън </w:t>
      </w:r>
      <w:r>
        <w:rPr>
          <w:b w:val="false"/>
          <w:lang w:val="bg-BG"/>
        </w:rPr>
        <w:t>(63)</w:t>
      </w:r>
      <w:r>
        <w:rPr>
          <w:lang w:val="bg-BG"/>
        </w:rPr>
        <w:t>.</w:t>
      </w:r>
      <w:r>
        <w:rPr>
          <w:b w:val="false"/>
          <w:lang w:val="bg-BG"/>
        </w:rPr>
        <w:t xml:space="preserve"> В неговата </w:t>
      </w:r>
      <w:r>
        <w:rPr>
          <w:i/>
          <w:lang w:val="bg-BG"/>
        </w:rPr>
        <w:t>теория за психосоциалните кр</w:t>
      </w:r>
      <w:r>
        <w:rPr>
          <w:lang w:val="bg-BG"/>
        </w:rPr>
        <w:t>изи</w:t>
      </w:r>
      <w:r>
        <w:rPr>
          <w:b w:val="false"/>
          <w:lang w:val="bg-BG"/>
        </w:rPr>
        <w:t xml:space="preserve"> и </w:t>
      </w:r>
      <w:r>
        <w:rPr>
          <w:i/>
          <w:lang w:val="bg-BG"/>
        </w:rPr>
        <w:t>формирането на</w:t>
      </w:r>
      <w:r>
        <w:rPr>
          <w:b w:val="false"/>
          <w:lang w:val="bg-BG"/>
        </w:rPr>
        <w:t xml:space="preserve"> </w:t>
      </w:r>
      <w:r>
        <w:rPr>
          <w:i/>
          <w:lang w:val="bg-BG"/>
        </w:rPr>
        <w:t>идентитета (идентичността)</w:t>
      </w:r>
      <w:r>
        <w:rPr>
          <w:b w:val="false"/>
          <w:lang w:val="bg-BG"/>
        </w:rPr>
        <w:t xml:space="preserve"> освен годините като източник на възрастово измерение и развитие се взема под внимание и промените у личността и обществото (космическия порядък, законността и реда в обществото, технологията на обществено-производствената дейност, потенциалните възможности за положително или негативно личностно изменение). Идентитетът като осъзнато личностно самоопределение и отношение към света се надстроява над темперамента и характера.  Той се  формира продължително време, почти през целия живот, чрез комбинираното въздействие на биологическите предпоставки и социалната среда, макар и основните му качества да се проявяват още през пубертета. За Е. Ериксън макар и висша форма на социално поведение идентитетът има своите антропологични (сексуално-биологични) основи. </w:t>
      </w:r>
    </w:p>
    <w:p>
      <w:pPr>
        <w:pStyle w:val="Heading3"/>
        <w:jc w:val="both"/>
        <w:rPr/>
      </w:pPr>
      <w:r>
        <w:rPr>
          <w:b w:val="false"/>
          <w:lang w:val="bg-BG"/>
        </w:rPr>
        <w:t xml:space="preserve">Всеки от осемте стадия на индивидуалното развитие той разглежда като своеобразна психосоциална криза. Според него през </w:t>
      </w:r>
      <w:r>
        <w:rPr>
          <w:i/>
          <w:lang w:val="bg-BG"/>
        </w:rPr>
        <w:t>детството</w:t>
      </w:r>
      <w:r>
        <w:rPr>
          <w:b w:val="false"/>
          <w:lang w:val="bg-BG"/>
        </w:rPr>
        <w:t xml:space="preserve"> (до 2 г.) се развива чувството за доверие или недоверие (като първично отношение между детето и майката), което е характерно за </w:t>
      </w:r>
      <w:r>
        <w:rPr>
          <w:i/>
          <w:lang w:val="bg-BG"/>
        </w:rPr>
        <w:t>оралния стадий</w:t>
      </w:r>
      <w:r>
        <w:rPr>
          <w:b w:val="false"/>
          <w:lang w:val="bg-BG"/>
        </w:rPr>
        <w:t xml:space="preserve"> в либидоналното развитие. През следващия – </w:t>
      </w:r>
      <w:r>
        <w:rPr>
          <w:i/>
          <w:lang w:val="bg-BG"/>
        </w:rPr>
        <w:t>аналния стадий</w:t>
      </w:r>
      <w:r>
        <w:rPr>
          <w:b w:val="false"/>
          <w:lang w:val="bg-BG"/>
        </w:rPr>
        <w:t xml:space="preserve"> – е налице стремеж за постигане на автономия или изпадане в съмнения (срам). Към 4-5 годишна възраст (през </w:t>
      </w:r>
      <w:r>
        <w:rPr>
          <w:i/>
          <w:lang w:val="bg-BG"/>
        </w:rPr>
        <w:t>фалусния стадий</w:t>
      </w:r>
      <w:r>
        <w:rPr>
          <w:b w:val="false"/>
          <w:lang w:val="bg-BG"/>
        </w:rPr>
        <w:t xml:space="preserve">)  детето проявява инициативност или чувство за вина. През ученическите години (т.нар. </w:t>
      </w:r>
      <w:r>
        <w:rPr>
          <w:i/>
          <w:lang w:val="bg-BG"/>
        </w:rPr>
        <w:t>латентен период</w:t>
      </w:r>
      <w:r>
        <w:rPr>
          <w:b w:val="false"/>
          <w:lang w:val="bg-BG"/>
        </w:rPr>
        <w:t xml:space="preserve">) е налице чувството за пригодност или за малоценност. Проявява се в отношението на детето към другите (към съучениците, съседите и пр.). </w:t>
      </w:r>
      <w:r>
        <w:rPr>
          <w:i/>
          <w:lang w:val="bg-BG"/>
        </w:rPr>
        <w:t>Юношеството (пубертетният стадий</w:t>
      </w:r>
      <w:r>
        <w:rPr>
          <w:b w:val="false"/>
          <w:lang w:val="bg-BG"/>
        </w:rPr>
        <w:t xml:space="preserve"> в либидоналното развитие) е период, когато се формират базовите качества на идентитета и е налице идентитет-определеност или идентитет-дифузия. Формирането на психосоциална идентичност намира израз в чувството за самотъждественост, за собствената цялостност, за приемственост и перспективност в живота. Юношата започва да  се възприема като “цялостен Аз”, едновременно свързан с другите и различен от тях. Той си “дава сметка откъде идва и къде отива”. Идентитетът-дифузия (загубата на идентичност) води до безсилие, страх, алиенация или отчуждение. На индивидуално равнище идентитетът се ражда от взаимодействието между психическо и социално, между онтогенетично и културно-историческо. Идентитетът-определеност намира израз в реалистичната Аз-концепция (образ за себе си), която интегрира физическо, когнитивно, емоционално и социално овладяване на средата и съответно социално признание в обществото.</w:t>
      </w:r>
    </w:p>
    <w:p>
      <w:pPr>
        <w:pStyle w:val="Heading3"/>
        <w:jc w:val="both"/>
        <w:rPr>
          <w:b w:val="false"/>
          <w:b w:val="false"/>
          <w:lang w:val="bg-BG"/>
        </w:rPr>
      </w:pPr>
      <w:r>
        <w:rPr>
          <w:b w:val="false"/>
          <w:lang w:val="bg-BG"/>
        </w:rPr>
        <w:t>Трите последни стадия   обхващат ранната, средната и късната зряла възраст.</w:t>
      </w:r>
    </w:p>
    <w:p>
      <w:pPr>
        <w:pStyle w:val="Heading3"/>
        <w:jc w:val="both"/>
        <w:rPr/>
      </w:pPr>
      <w:r>
        <w:rPr>
          <w:b w:val="false"/>
          <w:lang w:val="bg-BG"/>
        </w:rPr>
        <w:t xml:space="preserve">Психосоциалното развитие през </w:t>
      </w:r>
      <w:r>
        <w:rPr>
          <w:i/>
          <w:lang w:val="bg-BG"/>
        </w:rPr>
        <w:t>ранната зрелост</w:t>
      </w:r>
      <w:r>
        <w:rPr>
          <w:b w:val="false"/>
          <w:lang w:val="bg-BG"/>
        </w:rPr>
        <w:t xml:space="preserve"> се отличава  с проявите на интимност (солидарност) или на социална изолация. Това е възраст на “вътрешно напрежение”, на разширяване на социалните контакти с приятели, съперници, сексуални партньори. Тя отразява диапазона на деловите и конкурентните отношения в обществото. Твърде често задачата на личността е отначало “да загуби”, а след това да намери себе си (да се “влее”, да се “преоткрие” в другия) и по този начин да реализира чувствата си за сътрудничество и любов. </w:t>
      </w:r>
    </w:p>
    <w:p>
      <w:pPr>
        <w:pStyle w:val="Heading3"/>
        <w:jc w:val="both"/>
        <w:rPr/>
      </w:pPr>
      <w:r>
        <w:rPr>
          <w:i/>
          <w:lang w:val="bg-BG"/>
        </w:rPr>
        <w:t>Средният период на зрелостта</w:t>
      </w:r>
      <w:r>
        <w:rPr>
          <w:b w:val="false"/>
          <w:lang w:val="bg-BG"/>
        </w:rPr>
        <w:t xml:space="preserve"> обикновено се характеризира като период на генеративност или на стагнация. Отразява отношението на зрелия човек с другите в съвместната работа, с брачния партньор, с интимния приятелски кръг и пр.     </w:t>
      </w:r>
    </w:p>
    <w:p>
      <w:pPr>
        <w:pStyle w:val="Heading3"/>
        <w:jc w:val="both"/>
        <w:rPr/>
      </w:pPr>
      <w:r>
        <w:rPr>
          <w:i/>
          <w:lang w:val="bg-BG"/>
        </w:rPr>
        <w:t>Късният период на зрялата възраст</w:t>
      </w:r>
      <w:r>
        <w:rPr>
          <w:b w:val="false"/>
          <w:lang w:val="bg-BG"/>
        </w:rPr>
        <w:t xml:space="preserve"> се разглежда като период на интегралност или на обърканост. Той отразява отношението на възрастния човек към себе си и към хората като него. Това е период на “равносметка”, на преценка на извършеното от самия него. Е. Ериксън лансира идеята за възможния сблъсък и кризата от  този сблъсък между целостността и стабилността на личността и отчаянието. Човек осъзнава,   че не може да започне отново и по друг начин житието-битието си. Отчаянието намира израз в констатацията, че времето е твърде малко, за да се направи опит да се започне друг живот и да се изпробват други пътища към целостността. Човек е щастлив, ако старостта носи чувство за цялостност. Когато обаче целостността и стабилността не са постигнати, старостта се възприема с чувството за безполезно преминал живот. С други думи, стареенето и особено “приемането” на старостта са социално и индивидуално детерминирани. Те са обусловени от целия предишен живот и развитие на индивида. </w:t>
      </w:r>
    </w:p>
    <w:p>
      <w:pPr>
        <w:pStyle w:val="Heading3"/>
        <w:jc w:val="both"/>
        <w:rPr/>
      </w:pPr>
      <w:r>
        <w:rPr>
          <w:b w:val="false"/>
          <w:lang w:val="bg-BG"/>
        </w:rPr>
        <w:t xml:space="preserve">Теорията на Е. Ериксън има твърде </w:t>
      </w:r>
      <w:r>
        <w:rPr>
          <w:i/>
          <w:lang w:val="bg-BG"/>
        </w:rPr>
        <w:t>голяма популярност</w:t>
      </w:r>
      <w:r>
        <w:rPr>
          <w:b w:val="false"/>
          <w:lang w:val="bg-BG"/>
        </w:rPr>
        <w:t xml:space="preserve">, независимо от някои нейни  критики по отношение на  известното абсолютизиране на принципите на фройдизма, особено  за първите три психосоциални кризи. От функционално-изследователски аспект нейното предимство е, че осигурява възможност за анализ освен на психогенезиса на отделната личност и на социално-психическото взаимодействие между поколенията.  </w:t>
      </w:r>
    </w:p>
    <w:p>
      <w:pPr>
        <w:pStyle w:val="Heading3"/>
        <w:jc w:val="both"/>
        <w:rPr/>
      </w:pPr>
      <w:r>
        <w:rPr>
          <w:b w:val="false"/>
          <w:lang w:val="bg-BG"/>
        </w:rPr>
        <w:t xml:space="preserve">У нас най-пълно е представена </w:t>
      </w:r>
      <w:r>
        <w:rPr>
          <w:i/>
          <w:lang w:val="bg-BG"/>
        </w:rPr>
        <w:t>периодизацията на детското развитие</w:t>
      </w:r>
      <w:r>
        <w:rPr>
          <w:b w:val="false"/>
          <w:lang w:val="bg-BG"/>
        </w:rPr>
        <w:t xml:space="preserve">  (в широк смисъл на думата, в който се включва и юношеството). Г. </w:t>
      </w:r>
      <w:r>
        <w:rPr>
          <w:lang w:val="bg-BG"/>
        </w:rPr>
        <w:t>Пирьов</w:t>
      </w:r>
      <w:r>
        <w:rPr>
          <w:b w:val="false"/>
          <w:lang w:val="bg-BG"/>
        </w:rPr>
        <w:t xml:space="preserve">, Ст. </w:t>
      </w:r>
      <w:r>
        <w:rPr>
          <w:lang w:val="bg-BG"/>
        </w:rPr>
        <w:t>Жекова</w:t>
      </w:r>
      <w:r>
        <w:rPr>
          <w:b w:val="false"/>
          <w:lang w:val="bg-BG"/>
        </w:rPr>
        <w:t xml:space="preserve">, П. </w:t>
      </w:r>
      <w:r>
        <w:rPr>
          <w:lang w:val="bg-BG"/>
        </w:rPr>
        <w:t>Николов</w:t>
      </w:r>
      <w:r>
        <w:rPr>
          <w:b w:val="false"/>
          <w:lang w:val="bg-BG"/>
        </w:rPr>
        <w:t xml:space="preserve">, Цв. </w:t>
      </w:r>
      <w:r>
        <w:rPr>
          <w:lang w:val="bg-BG"/>
        </w:rPr>
        <w:t>Асенов</w:t>
      </w:r>
      <w:r>
        <w:rPr>
          <w:b w:val="false"/>
          <w:lang w:val="bg-BG"/>
        </w:rPr>
        <w:t>, Н</w:t>
      </w:r>
      <w:r>
        <w:rPr>
          <w:lang w:val="bg-BG"/>
        </w:rPr>
        <w:t>. Витанова</w:t>
      </w:r>
      <w:r>
        <w:rPr>
          <w:b w:val="false"/>
          <w:lang w:val="bg-BG"/>
        </w:rPr>
        <w:t xml:space="preserve">, В. </w:t>
      </w:r>
      <w:r>
        <w:rPr>
          <w:lang w:val="bg-BG"/>
        </w:rPr>
        <w:t>Цолов</w:t>
      </w:r>
      <w:r>
        <w:rPr>
          <w:b w:val="false"/>
          <w:lang w:val="bg-BG"/>
        </w:rPr>
        <w:t xml:space="preserve"> и други наши психолози са единодушни по въпроса за многостранната обусловеност на това развитие. В основата на  периодизацията се поставя </w:t>
      </w:r>
      <w:r>
        <w:rPr>
          <w:i/>
          <w:lang w:val="bg-BG"/>
        </w:rPr>
        <w:t>динамичното единство</w:t>
      </w:r>
      <w:r>
        <w:rPr>
          <w:b w:val="false"/>
          <w:lang w:val="bg-BG"/>
        </w:rPr>
        <w:t xml:space="preserve"> между доминиращите през различните стадии дейности – </w:t>
      </w:r>
      <w:r>
        <w:rPr>
          <w:i/>
          <w:lang w:val="bg-BG"/>
        </w:rPr>
        <w:t>игра, учене и труд</w:t>
      </w:r>
      <w:r>
        <w:rPr>
          <w:b w:val="false"/>
          <w:lang w:val="bg-BG"/>
        </w:rPr>
        <w:t xml:space="preserve">, промените в условията на живота и в жизнените отношения, които оказват съществено влияние върху възрастовите  и индивидуалните особености на детето. Г. Пирьов например обръща внимание на следното: “1) щом дейностите се оформят и развиват под влиянието на жизнените условия и възпитанието,  периодизацията на тази основа може и трябва да отчита промените, които настъпват в тези условия; 2) всяка от дейностите в зависимост от тези условия се видоизменя и нюансира, което дава възможност да се разкрият не само основните периоди, но и да се набележат и подпериоди на развитието; 3) закономерното  развитие на нервната система, на целия организъм като основа и на дейностите дава възможност да се открият обективни закономерни отношения и във възрастовото развитие; 4) дейностите се поддават на обективно проучване както в развитието на отделната личност, така и в развитието на цели поколения…Най-рано в онтогенезиса се развива игровата дейност, след нея – ученето, а последна се развива трудовата дейност. (Тази хронология не важи за филогенезиса, тъй като там трудът предшества играта. Това е ново доказателство за разликата между онтогенезиса и филогенезиса)… При периодизиране на детството от съществено значение са и онези промени, които настъпват в анатомо-физиологичното развитие на тялото и по-специално в нервната система…Допълнителни данни в това отношение представляват закономерностите на телесното развитие и особено на половото развитие на подрастващите… Не са последни по значение и промените, които стават в психиката на човека. Всичко това показва колко сложна е задачата за научното периодизиране на детството. Сложността и трудността на задачата произтича не само от обстоятелството, че критериите са сложни и взаимно преплетени, но и от факта, че всеки от критериите за периодизацията е сам по себе си детерминиран от сложни условия “ (39,с.76-78).  </w:t>
      </w:r>
    </w:p>
    <w:p>
      <w:pPr>
        <w:pStyle w:val="Heading3"/>
        <w:jc w:val="both"/>
        <w:rPr>
          <w:i/>
          <w:i/>
          <w:lang w:val="bg-BG"/>
        </w:rPr>
      </w:pPr>
      <w:r>
        <w:rPr>
          <w:i/>
          <w:lang w:val="bg-BG"/>
        </w:rPr>
        <w:t>Общата схема на периодите на детското развитие има следния вид:</w:t>
      </w:r>
    </w:p>
    <w:p>
      <w:pPr>
        <w:pStyle w:val="Heading3"/>
        <w:ind w:left="60" w:firstLine="567"/>
        <w:jc w:val="both"/>
        <w:rPr/>
      </w:pPr>
      <w:r>
        <w:rPr>
          <w:i/>
          <w:lang w:val="bg-BG"/>
        </w:rPr>
        <w:t>Първи период</w:t>
      </w:r>
      <w:r>
        <w:rPr>
          <w:lang w:val="bg-BG"/>
        </w:rPr>
        <w:t xml:space="preserve"> – </w:t>
      </w:r>
      <w:r>
        <w:rPr>
          <w:i/>
          <w:lang w:val="bg-BG"/>
        </w:rPr>
        <w:t>ранно детство – от 0 до 3 години</w:t>
      </w:r>
      <w:r>
        <w:rPr>
          <w:lang w:val="bg-BG"/>
        </w:rPr>
        <w:t xml:space="preserve">. </w:t>
      </w:r>
      <w:r>
        <w:rPr>
          <w:i/>
          <w:lang w:val="bg-BG"/>
        </w:rPr>
        <w:t>Той се подразделя на</w:t>
      </w:r>
      <w:r>
        <w:rPr>
          <w:lang w:val="bg-BG"/>
        </w:rPr>
        <w:t xml:space="preserve"> </w:t>
      </w:r>
      <w:r>
        <w:rPr>
          <w:i/>
          <w:lang w:val="bg-BG"/>
        </w:rPr>
        <w:t>три</w:t>
      </w:r>
      <w:r>
        <w:rPr>
          <w:lang w:val="bg-BG"/>
        </w:rPr>
        <w:t xml:space="preserve"> </w:t>
      </w:r>
      <w:r>
        <w:rPr>
          <w:i/>
          <w:lang w:val="bg-BG"/>
        </w:rPr>
        <w:t xml:space="preserve">подпериода: </w:t>
      </w:r>
    </w:p>
    <w:p>
      <w:pPr>
        <w:pStyle w:val="Heading3"/>
        <w:numPr>
          <w:ilvl w:val="0"/>
          <w:numId w:val="76"/>
        </w:numPr>
        <w:jc w:val="both"/>
        <w:rPr>
          <w:b w:val="false"/>
          <w:b w:val="false"/>
          <w:lang w:val="bg-BG"/>
        </w:rPr>
      </w:pPr>
      <w:r>
        <w:rPr>
          <w:i/>
          <w:lang w:val="bg-BG"/>
        </w:rPr>
        <w:t>1. Новородено – от  0 до 1 месец.</w:t>
      </w:r>
    </w:p>
    <w:p>
      <w:pPr>
        <w:pStyle w:val="Heading3"/>
        <w:numPr>
          <w:ilvl w:val="0"/>
          <w:numId w:val="76"/>
        </w:numPr>
        <w:jc w:val="both"/>
        <w:rPr>
          <w:b w:val="false"/>
          <w:b w:val="false"/>
          <w:lang w:val="bg-BG"/>
        </w:rPr>
      </w:pPr>
      <w:r>
        <w:rPr>
          <w:i/>
          <w:lang w:val="bg-BG"/>
        </w:rPr>
        <w:t>2. Младенческа (кърмаческа) възраст – от началото на втория месец до навършване на 1 година.</w:t>
      </w:r>
    </w:p>
    <w:p>
      <w:pPr>
        <w:pStyle w:val="Heading3"/>
        <w:numPr>
          <w:ilvl w:val="0"/>
          <w:numId w:val="76"/>
        </w:numPr>
        <w:jc w:val="both"/>
        <w:rPr>
          <w:b w:val="false"/>
          <w:b w:val="false"/>
          <w:lang w:val="bg-BG"/>
        </w:rPr>
      </w:pPr>
      <w:r>
        <w:rPr>
          <w:i/>
          <w:lang w:val="bg-BG"/>
        </w:rPr>
        <w:t xml:space="preserve">3. Ранна детска (яслена) възраст – от 1 до 3 години. </w:t>
      </w:r>
    </w:p>
    <w:p>
      <w:pPr>
        <w:pStyle w:val="Heading3"/>
        <w:ind w:left="60" w:firstLine="567"/>
        <w:jc w:val="both"/>
        <w:rPr>
          <w:i/>
          <w:i/>
          <w:lang w:val="bg-BG"/>
        </w:rPr>
      </w:pPr>
      <w:r>
        <w:rPr>
          <w:i/>
          <w:lang w:val="bg-BG"/>
        </w:rPr>
        <w:t xml:space="preserve">Втори период – предучилищна възраст – от 3 до 6(7) години. Той се подразделя на три подпериода: </w:t>
      </w:r>
    </w:p>
    <w:p>
      <w:pPr>
        <w:pStyle w:val="Heading3"/>
        <w:numPr>
          <w:ilvl w:val="0"/>
          <w:numId w:val="76"/>
        </w:numPr>
        <w:jc w:val="both"/>
        <w:rPr>
          <w:i/>
          <w:i/>
          <w:lang w:val="bg-BG"/>
        </w:rPr>
      </w:pPr>
      <w:r>
        <w:rPr>
          <w:i/>
          <w:lang w:val="bg-BG"/>
        </w:rPr>
        <w:t xml:space="preserve">Ранна предучилищна възраст. </w:t>
      </w:r>
    </w:p>
    <w:p>
      <w:pPr>
        <w:pStyle w:val="Heading3"/>
        <w:numPr>
          <w:ilvl w:val="0"/>
          <w:numId w:val="76"/>
        </w:numPr>
        <w:jc w:val="both"/>
        <w:rPr>
          <w:b w:val="false"/>
          <w:b w:val="false"/>
          <w:lang w:val="bg-BG"/>
        </w:rPr>
      </w:pPr>
      <w:r>
        <w:rPr>
          <w:i/>
          <w:lang w:val="bg-BG"/>
        </w:rPr>
        <w:t xml:space="preserve">Средна предучилищна възраст. </w:t>
      </w:r>
    </w:p>
    <w:p>
      <w:pPr>
        <w:pStyle w:val="Heading3"/>
        <w:numPr>
          <w:ilvl w:val="0"/>
          <w:numId w:val="76"/>
        </w:numPr>
        <w:jc w:val="both"/>
        <w:rPr>
          <w:b w:val="false"/>
          <w:b w:val="false"/>
          <w:lang w:val="bg-BG"/>
        </w:rPr>
      </w:pPr>
      <w:r>
        <w:rPr>
          <w:i/>
          <w:lang w:val="bg-BG"/>
        </w:rPr>
        <w:t xml:space="preserve">Горна предучилищна възраст. </w:t>
      </w:r>
    </w:p>
    <w:p>
      <w:pPr>
        <w:pStyle w:val="Heading3"/>
        <w:ind w:left="60" w:firstLine="567"/>
        <w:jc w:val="both"/>
        <w:rPr>
          <w:i/>
          <w:i/>
          <w:lang w:val="bg-BG"/>
        </w:rPr>
      </w:pPr>
      <w:r>
        <w:rPr>
          <w:i/>
          <w:lang w:val="bg-BG"/>
        </w:rPr>
        <w:t>Трети период – училищна възраст – от 6(7) до 18-19 години. Той се подразделя на три подпериода:</w:t>
      </w:r>
    </w:p>
    <w:p>
      <w:pPr>
        <w:pStyle w:val="Heading3"/>
        <w:numPr>
          <w:ilvl w:val="0"/>
          <w:numId w:val="76"/>
        </w:numPr>
        <w:jc w:val="both"/>
        <w:rPr>
          <w:i/>
          <w:i/>
          <w:lang w:val="bg-BG"/>
        </w:rPr>
      </w:pPr>
      <w:r>
        <w:rPr>
          <w:i/>
          <w:lang w:val="bg-BG"/>
        </w:rPr>
        <w:t>Ранна училищна възраст.</w:t>
      </w:r>
    </w:p>
    <w:p>
      <w:pPr>
        <w:pStyle w:val="Heading3"/>
        <w:numPr>
          <w:ilvl w:val="0"/>
          <w:numId w:val="76"/>
        </w:numPr>
        <w:jc w:val="both"/>
        <w:rPr>
          <w:b w:val="false"/>
          <w:b w:val="false"/>
          <w:lang w:val="bg-BG"/>
        </w:rPr>
      </w:pPr>
      <w:r>
        <w:rPr>
          <w:i/>
          <w:lang w:val="bg-BG"/>
        </w:rPr>
        <w:t xml:space="preserve">Средна училищна възраст. </w:t>
      </w:r>
    </w:p>
    <w:p>
      <w:pPr>
        <w:pStyle w:val="Heading3"/>
        <w:numPr>
          <w:ilvl w:val="0"/>
          <w:numId w:val="76"/>
        </w:numPr>
        <w:jc w:val="both"/>
        <w:rPr>
          <w:b w:val="false"/>
          <w:b w:val="false"/>
          <w:lang w:val="bg-BG"/>
        </w:rPr>
      </w:pPr>
      <w:r>
        <w:rPr>
          <w:i/>
          <w:lang w:val="bg-BG"/>
        </w:rPr>
        <w:t xml:space="preserve">Горна училищна възраст. </w:t>
      </w:r>
    </w:p>
    <w:p>
      <w:pPr>
        <w:pStyle w:val="Heading3"/>
        <w:ind w:left="60" w:firstLine="567"/>
        <w:jc w:val="both"/>
        <w:rPr/>
      </w:pPr>
      <w:r>
        <w:rPr>
          <w:i/>
          <w:lang w:val="bg-BG"/>
        </w:rPr>
        <w:t>Четвърти период – младежка възраст – от 18-19 до 24-25 години.</w:t>
      </w:r>
      <w:r>
        <w:rPr>
          <w:lang w:val="bg-BG"/>
        </w:rPr>
        <w:t xml:space="preserve">  </w:t>
      </w:r>
    </w:p>
    <w:p>
      <w:pPr>
        <w:pStyle w:val="Heading3"/>
        <w:jc w:val="both"/>
        <w:rPr/>
      </w:pPr>
      <w:r>
        <w:rPr>
          <w:b w:val="false"/>
          <w:lang w:val="bg-BG"/>
        </w:rPr>
        <w:t>Подчертава се, че</w:t>
      </w:r>
      <w:r>
        <w:rPr>
          <w:lang w:val="bg-BG"/>
        </w:rPr>
        <w:t xml:space="preserve"> </w:t>
      </w:r>
      <w:r>
        <w:rPr>
          <w:b w:val="false"/>
          <w:lang w:val="bg-BG"/>
        </w:rPr>
        <w:t xml:space="preserve">тези периоди и подпериоди са тясно свързани помежду си и взаимно се обуславят. Не само времетраенето, а и вътрешното им съдържание се определят от реалните обществени условия и начина на живот на децата, юношите и младите хора. През всеки предшестващ период се създават предпоставки за развитието през следващия период. Макар че между отделните периоди има дълбока вътрешна връзка, всеки един от тях е качествено различен от останалите. Личностно-психическото  развитие се характеризира със своята скокообразност. То не върви по гладка възходяща линия,  не се извършва чрез просто надстрояване над постигнатото през по-ранния етап. През всеки по-горен етап се осъществява  ново прегрупиране на качествата,  в резултат на което се преустройва  цялата личност. Качествените изменения обаче не се извършват изведнъж. Те стават по пътя на постепенното и продължително натрупване на елементите на новото качество.  Качествените своеобразия, характерни за всеки един от периодите, намират израз в богатата палитра от възрастови и индивидуални особености, отличаващи всяко едно дете, юноша, младеж или девойка. </w:t>
      </w:r>
    </w:p>
    <w:p>
      <w:pPr>
        <w:pStyle w:val="Heading3"/>
        <w:jc w:val="both"/>
        <w:rPr/>
      </w:pPr>
      <w:r>
        <w:rPr>
          <w:b w:val="false"/>
          <w:lang w:val="bg-BG"/>
        </w:rPr>
        <w:t xml:space="preserve">Г. </w:t>
      </w:r>
      <w:r>
        <w:rPr>
          <w:lang w:val="bg-BG"/>
        </w:rPr>
        <w:t>Йолов</w:t>
      </w:r>
      <w:r>
        <w:rPr>
          <w:b w:val="false"/>
          <w:lang w:val="bg-BG"/>
        </w:rPr>
        <w:t xml:space="preserve"> с основание  твърди, че всеки опит  за точно и строго фиксиране  на периодите на човешкия живот и особено на тяхното вътрешно съдържание би бил твърде  претенциозен. “Независимо дали се преценява от позициите на житейската практика или от науката циклите на живота са елементи на единен и цялостен процес. Не само всеки жизнен период, но и всяка следваща година от него е нещо повече от една нова година…Това, че възрастта е абсолютен процес, не изключва специфичното присъствие на настоящето, асимилирано плодотворно минало и залагащо със сигурност перспективите на бъдещето. След като се добави и обстоятелството, че социалният и психичният статус на отделната личност се определят в последна сметка от конкретните особености на нейното социално битие, може, макар и в операционен план,  да се говори за пет основни цикъла на живот, съответстващи и на съответните възрасти – детство, юношество, младежка, средна и трета възраст”(24,с. 16-17). В най-едри линии, както отбелязват Г. Пирьов и Ст. </w:t>
      </w:r>
      <w:r>
        <w:rPr>
          <w:lang w:val="bg-BG"/>
        </w:rPr>
        <w:t>Желев</w:t>
      </w:r>
      <w:r>
        <w:rPr>
          <w:b w:val="false"/>
          <w:lang w:val="bg-BG"/>
        </w:rPr>
        <w:t xml:space="preserve">, животът на човека протича като смяна на няколко периода: детството, юношеството, младостта, зрялата и напредналата възраст и най-после старостта (40,с. 45). При това едни автори разглеждат младежката възраст като отделен период, докато други я включват към зрялата (средната) възраст и обикновено  обособяват т.нар. период на ранна зрелост.  </w:t>
      </w:r>
    </w:p>
    <w:p>
      <w:pPr>
        <w:pStyle w:val="Heading3"/>
        <w:jc w:val="both"/>
        <w:rPr/>
      </w:pPr>
      <w:r>
        <w:rPr>
          <w:b w:val="false"/>
          <w:lang w:val="bg-BG"/>
        </w:rPr>
        <w:t xml:space="preserve">Така например в своята периодизация Дж. </w:t>
      </w:r>
      <w:r>
        <w:rPr>
          <w:lang w:val="bg-BG"/>
        </w:rPr>
        <w:t>Бирън</w:t>
      </w:r>
      <w:r>
        <w:rPr>
          <w:b w:val="false"/>
          <w:lang w:val="bg-BG"/>
        </w:rPr>
        <w:t xml:space="preserve">  разграничава : ранна зрелост (от 17 до 25 г.), зрелост (от 25 до 50 г.), късна зрелост (от 50 до 75 г.) и старост (след 75-годишна възраст).</w:t>
      </w:r>
    </w:p>
    <w:p>
      <w:pPr>
        <w:pStyle w:val="Heading3"/>
        <w:jc w:val="both"/>
        <w:rPr/>
      </w:pPr>
      <w:r>
        <w:rPr>
          <w:b w:val="false"/>
          <w:lang w:val="bg-BG"/>
        </w:rPr>
        <w:t xml:space="preserve">Руската изследователка Г.С. </w:t>
      </w:r>
      <w:r>
        <w:rPr>
          <w:lang w:val="bg-BG"/>
        </w:rPr>
        <w:t>Абрамова</w:t>
      </w:r>
      <w:r>
        <w:rPr>
          <w:b w:val="false"/>
          <w:lang w:val="bg-BG"/>
        </w:rPr>
        <w:t xml:space="preserve"> разграничава: младост – 18-22 г.; начало на навлизане във възрастност – 23-30 г.; т.нар. преходна възраст – 31-35 г.; зрелост – 36-50 г.; ранна старост – 51-65 г.; старост – след 65 г. и дълголетие – над 90 г. Други руски автори – С.Е. </w:t>
      </w:r>
      <w:r>
        <w:rPr>
          <w:lang w:val="bg-BG"/>
        </w:rPr>
        <w:t>Пиняева</w:t>
      </w:r>
      <w:r>
        <w:rPr>
          <w:b w:val="false"/>
          <w:lang w:val="bg-BG"/>
        </w:rPr>
        <w:t xml:space="preserve"> и Н.В. </w:t>
      </w:r>
      <w:r>
        <w:rPr>
          <w:lang w:val="bg-BG"/>
        </w:rPr>
        <w:t xml:space="preserve">Андреев </w:t>
      </w:r>
      <w:r>
        <w:rPr>
          <w:b w:val="false"/>
          <w:lang w:val="bg-BG"/>
        </w:rPr>
        <w:t>(</w:t>
      </w:r>
      <w:r>
        <w:rPr>
          <w:b w:val="false"/>
        </w:rPr>
        <w:t>3</w:t>
      </w:r>
      <w:r>
        <w:rPr>
          <w:b w:val="false"/>
          <w:lang w:val="bg-BG"/>
        </w:rPr>
        <w:t xml:space="preserve">8) смятат, че зрелостта обхваща времето от 20 до 60 години, като се разделя на отделни фази с продължителност 7-10 години. Българският психолог Л. </w:t>
      </w:r>
      <w:r>
        <w:rPr>
          <w:lang w:val="bg-BG"/>
        </w:rPr>
        <w:t xml:space="preserve">Георгиев </w:t>
      </w:r>
      <w:r>
        <w:rPr>
          <w:b w:val="false"/>
          <w:lang w:val="bg-BG"/>
        </w:rPr>
        <w:t xml:space="preserve">се придържа към периодизацията на Г.С. Абрамова, но с известни корекции в някои от названията: младежка възраст – 18-22 г.; начало на отиване към възрастност –23-30 г.; преходна възраст –31-35 г.; зряла възраст – 36-50 г.; средна възрастност – 51-65 г.; напредваща възрастност –66-89 г.; дълголетие над 90 г. </w:t>
      </w:r>
    </w:p>
    <w:p>
      <w:pPr>
        <w:pStyle w:val="Heading3"/>
        <w:ind w:left="60" w:firstLine="567"/>
        <w:jc w:val="both"/>
        <w:rPr/>
      </w:pPr>
      <w:r>
        <w:rPr>
          <w:lang w:val="bg-BG"/>
        </w:rPr>
        <w:t xml:space="preserve">Берглер </w:t>
      </w:r>
      <w:r>
        <w:rPr>
          <w:b w:val="false"/>
          <w:lang w:val="bg-BG"/>
        </w:rPr>
        <w:t xml:space="preserve">разделя зрялата възраст на:  </w:t>
      </w:r>
    </w:p>
    <w:p>
      <w:pPr>
        <w:pStyle w:val="Heading3"/>
        <w:ind w:left="60" w:firstLine="567"/>
        <w:jc w:val="both"/>
        <w:rPr>
          <w:b w:val="false"/>
          <w:b w:val="false"/>
          <w:lang w:val="bg-BG"/>
        </w:rPr>
      </w:pPr>
      <w:r>
        <w:rPr>
          <w:b w:val="false"/>
          <w:lang w:val="bg-BG"/>
        </w:rPr>
        <w:t>1.Възрастни – между 20 и 35 години.</w:t>
      </w:r>
    </w:p>
    <w:p>
      <w:pPr>
        <w:pStyle w:val="Heading3"/>
        <w:ind w:left="60" w:firstLine="567"/>
        <w:jc w:val="both"/>
        <w:rPr>
          <w:b w:val="false"/>
          <w:b w:val="false"/>
          <w:lang w:val="bg-BG"/>
        </w:rPr>
      </w:pPr>
      <w:r>
        <w:rPr>
          <w:b w:val="false"/>
          <w:lang w:val="bg-BG"/>
        </w:rPr>
        <w:t xml:space="preserve">2. Възрастни – между 35 и 50 години. </w:t>
      </w:r>
    </w:p>
    <w:p>
      <w:pPr>
        <w:pStyle w:val="Heading3"/>
        <w:ind w:left="60" w:firstLine="567"/>
        <w:jc w:val="both"/>
        <w:rPr>
          <w:b w:val="false"/>
          <w:b w:val="false"/>
          <w:lang w:val="bg-BG"/>
        </w:rPr>
      </w:pPr>
      <w:r>
        <w:rPr>
          <w:b w:val="false"/>
          <w:lang w:val="bg-BG"/>
        </w:rPr>
        <w:t xml:space="preserve">3. По-възрастни – между 50 и 60 години. </w:t>
      </w:r>
    </w:p>
    <w:p>
      <w:pPr>
        <w:pStyle w:val="Heading3"/>
        <w:ind w:left="60" w:firstLine="567"/>
        <w:jc w:val="both"/>
        <w:rPr>
          <w:b w:val="false"/>
          <w:b w:val="false"/>
          <w:lang w:val="bg-BG"/>
        </w:rPr>
      </w:pPr>
      <w:r>
        <w:rPr>
          <w:b w:val="false"/>
          <w:lang w:val="bg-BG"/>
        </w:rPr>
        <w:t xml:space="preserve">4. Стари и инвалиди – над 60 години. </w:t>
      </w:r>
    </w:p>
    <w:p>
      <w:pPr>
        <w:pStyle w:val="Heading3"/>
        <w:ind w:left="60" w:firstLine="567"/>
        <w:jc w:val="both"/>
        <w:rPr>
          <w:b w:val="false"/>
          <w:b w:val="false"/>
          <w:lang w:val="bg-BG"/>
        </w:rPr>
      </w:pPr>
      <w:r>
        <w:rPr>
          <w:b w:val="false"/>
          <w:lang w:val="bg-BG"/>
        </w:rPr>
        <w:t>5. Старци на 80 и повече години.</w:t>
      </w:r>
    </w:p>
    <w:p>
      <w:pPr>
        <w:pStyle w:val="Heading3"/>
        <w:jc w:val="both"/>
        <w:rPr/>
      </w:pPr>
      <w:r>
        <w:rPr>
          <w:b w:val="false"/>
          <w:lang w:val="bg-BG"/>
        </w:rPr>
        <w:t xml:space="preserve">В съответствие със съществуващите теории за прераждането цикличните промени в живота на човека някои  свързват с числата 9 или 12 ( 9 месеца детето се развива в утробата на майката,  след което възрастовите цикли са с продължителност по 9 години или по 12 години (аналогично на това, че годината има 12 месеца, че денят и нощта траят по 12 часа, че Светите апостоли са 12 и т.н.). </w:t>
      </w:r>
    </w:p>
    <w:p>
      <w:pPr>
        <w:pStyle w:val="Heading3"/>
        <w:jc w:val="both"/>
        <w:rPr/>
      </w:pPr>
      <w:r>
        <w:rPr>
          <w:b w:val="false"/>
          <w:lang w:val="bg-BG"/>
        </w:rPr>
        <w:t xml:space="preserve">В международния бетселър на Гейл </w:t>
      </w:r>
      <w:r>
        <w:rPr>
          <w:lang w:val="bg-BG"/>
        </w:rPr>
        <w:t xml:space="preserve">Шийхи  </w:t>
      </w:r>
      <w:r>
        <w:rPr>
          <w:b w:val="false"/>
          <w:lang w:val="bg-BG"/>
        </w:rPr>
        <w:t xml:space="preserve">“Преходи”(62) се предлага “нова карта” на зрелия живот, която обхваща: предварителна зрелост (18-30 години), включваща изпитателните двадесет и бурните тридесет години; първа зрелост (30-45 години) – т. нар. “цъфтящите” четиридесет години; втора зрелост  (45-85 + години) – т.нар. пламенните петдесет години, ведрите шестдесет години, мъдрите седемдесет години, освободените от задръжки осемдесет години, благородните деветдесет години, тържествуващите столетници. Според авторката преходите отразяват предвидимите “кризи” или повратни точки, извършващи се във всеки нов етап. В първото си издание на книгата тя използва аналогията с морския рак, който расте като образува и сваля поредица от твърди, предпазни черупки. Всеки път, когато порасне вътрешно, ограничаващата го обвивка се налага да бъде отхвърлена и до образуването на ново покритие той остава незащитен. И с хората е така, при всеки преход от един етап на човешкото развитие към друг се налага да се отхвърлят старите защитни образувания и на тяхно място постепенно да се образуват нови.  </w:t>
      </w:r>
    </w:p>
    <w:p>
      <w:pPr>
        <w:pStyle w:val="Heading3"/>
        <w:jc w:val="both"/>
        <w:rPr/>
      </w:pPr>
      <w:r>
        <w:rPr>
          <w:i/>
          <w:lang w:val="bg-BG"/>
        </w:rPr>
        <w:t>Според нас</w:t>
      </w:r>
      <w:r>
        <w:rPr>
          <w:b w:val="false"/>
          <w:lang w:val="bg-BG"/>
        </w:rPr>
        <w:t xml:space="preserve"> по-приемливо е схващането на английската психоложка Д.Б. </w:t>
      </w:r>
      <w:r>
        <w:rPr>
          <w:lang w:val="bg-BG"/>
        </w:rPr>
        <w:t>Бромлей</w:t>
      </w:r>
      <w:r>
        <w:rPr>
          <w:b w:val="false"/>
          <w:lang w:val="bg-BG"/>
        </w:rPr>
        <w:t xml:space="preserve"> (по 5,с. 91-94).  Тя  разделя периода на </w:t>
      </w:r>
      <w:r>
        <w:rPr>
          <w:i/>
          <w:lang w:val="bg-BG"/>
        </w:rPr>
        <w:t>зрелостта (възрастността)</w:t>
      </w:r>
      <w:r>
        <w:rPr>
          <w:b w:val="false"/>
          <w:lang w:val="bg-BG"/>
        </w:rPr>
        <w:t xml:space="preserve"> на следните вътрешни стадии:  </w:t>
      </w:r>
    </w:p>
    <w:p>
      <w:pPr>
        <w:pStyle w:val="ListBullet5"/>
        <w:numPr>
          <w:ilvl w:val="0"/>
          <w:numId w:val="4"/>
        </w:numPr>
        <w:ind w:left="964" w:hanging="284"/>
        <w:rPr/>
      </w:pPr>
      <w:r>
        <w:rPr/>
        <w:t xml:space="preserve">ранна зрелост – 21-25 години; </w:t>
      </w:r>
    </w:p>
    <w:p>
      <w:pPr>
        <w:pStyle w:val="ListBullet5"/>
        <w:numPr>
          <w:ilvl w:val="0"/>
          <w:numId w:val="4"/>
        </w:numPr>
        <w:ind w:left="964" w:hanging="284"/>
        <w:rPr/>
      </w:pPr>
      <w:r>
        <w:rPr/>
        <w:t xml:space="preserve">средна зрелост – 25-40 години; </w:t>
      </w:r>
    </w:p>
    <w:p>
      <w:pPr>
        <w:pStyle w:val="ListBullet5"/>
        <w:numPr>
          <w:ilvl w:val="0"/>
          <w:numId w:val="4"/>
        </w:numPr>
        <w:ind w:left="964" w:hanging="284"/>
        <w:rPr/>
      </w:pPr>
      <w:r>
        <w:rPr/>
        <w:t>късна зрелост- 41-55 години;</w:t>
      </w:r>
    </w:p>
    <w:p>
      <w:pPr>
        <w:pStyle w:val="ListBullet5"/>
        <w:numPr>
          <w:ilvl w:val="0"/>
          <w:numId w:val="4"/>
        </w:numPr>
        <w:ind w:left="964" w:hanging="284"/>
        <w:rPr/>
      </w:pPr>
      <w:r>
        <w:rPr/>
        <w:t>предпенсионна възраст – 56-65 години;</w:t>
      </w:r>
    </w:p>
    <w:p>
      <w:pPr>
        <w:pStyle w:val="ListBullet5"/>
        <w:numPr>
          <w:ilvl w:val="0"/>
          <w:numId w:val="4"/>
        </w:numPr>
        <w:ind w:left="964" w:hanging="284"/>
        <w:rPr/>
      </w:pPr>
      <w:r>
        <w:rPr/>
        <w:t xml:space="preserve">период на стареене – след 65 години. </w:t>
      </w:r>
    </w:p>
    <w:p>
      <w:pPr>
        <w:pStyle w:val="NormalText"/>
        <w:rPr/>
      </w:pPr>
      <w:r>
        <w:rPr>
          <w:b/>
          <w:i/>
        </w:rPr>
        <w:t>Ранната зрелост</w:t>
      </w:r>
      <w:r>
        <w:rPr/>
        <w:t xml:space="preserve"> Бромлей характеризира като период на пълно включване във всички видове социална активност: овладяване н ролята на възрастния човек, постигане на т.нар. правна зрелост, ползване на избирателни права, наличие на икономическа отговорност и пр. През този стадий твърде често се създава собствено семейство и се изгражда собствен начин на живот: встъпване в брак, раждане на първо дете, разширяване на контактите, свързани с общата работа. При изпълнението на трудовата дейност се усвояват професионалните роли, продължава професионалната подготовка, свързана с по-нататъшното професионално усъвършенстване. </w:t>
      </w:r>
    </w:p>
    <w:p>
      <w:pPr>
        <w:pStyle w:val="Heading3"/>
        <w:jc w:val="both"/>
        <w:rPr/>
      </w:pPr>
      <w:r>
        <w:rPr>
          <w:i/>
          <w:lang w:val="bg-BG"/>
        </w:rPr>
        <w:t>Средната зрелост</w:t>
      </w:r>
      <w:r>
        <w:rPr>
          <w:b w:val="false"/>
          <w:lang w:val="bg-BG"/>
        </w:rPr>
        <w:t xml:space="preserve"> Бромлей характеризира като години на върхови, на оптимални интелектуални постижения, като период на консолидация между социалните и професионалните роли, на натрупване на сравнително постоянни материални средства и социални връзки, на лидерство в различните видове дейност, но и на неголямо понижаване на някои физически и умствени функции, проявяващо се при максимална натовареност. </w:t>
      </w:r>
    </w:p>
    <w:p>
      <w:pPr>
        <w:pStyle w:val="Heading3"/>
        <w:jc w:val="both"/>
        <w:rPr/>
      </w:pPr>
      <w:r>
        <w:rPr>
          <w:b w:val="false"/>
          <w:lang w:val="bg-BG"/>
        </w:rPr>
        <w:t xml:space="preserve">През периода на </w:t>
      </w:r>
      <w:r>
        <w:rPr>
          <w:i/>
          <w:lang w:val="bg-BG"/>
        </w:rPr>
        <w:t>късната зрелост</w:t>
      </w:r>
      <w:r>
        <w:rPr>
          <w:b w:val="false"/>
          <w:lang w:val="bg-BG"/>
        </w:rPr>
        <w:t xml:space="preserve"> продължава  процесът на установяване на различни специални и социални роли при доминиране на някои от тях и отслабване на други; извършват се промени в намина на живот във връзка с излизането на децата от семейството; наблюдава се по-нататъшно понижаване на физическите и умствените функции. Средната точка на този период се намира между 45 и 50 години. </w:t>
      </w:r>
    </w:p>
    <w:p>
      <w:pPr>
        <w:pStyle w:val="Heading3"/>
        <w:jc w:val="both"/>
        <w:rPr/>
      </w:pPr>
      <w:r>
        <w:rPr>
          <w:i/>
          <w:lang w:val="bg-BG"/>
        </w:rPr>
        <w:t>Предпенсионната възраст</w:t>
      </w:r>
      <w:r>
        <w:rPr>
          <w:b w:val="false"/>
          <w:lang w:val="bg-BG"/>
        </w:rPr>
        <w:t xml:space="preserve"> се характеризира с още по-засилено понижаване на физическите и умствените функции, с по-нататъшно намаляване на сексуалните функции и интереси. Заедно с това този период е върхът на постигане на най-високо положение в обществото, на власт и авторитет, а също и на частично освобождаване от някои дейности, на отдаване на занимания с най-интересните за личността обществени дела. Настъпват и съществени изменения на цялата мотивация във връзка с предстоящия пенсионерски начин на живот, очакваната старост и съпротивата срещу нейното настъпване.  </w:t>
      </w:r>
    </w:p>
    <w:p>
      <w:pPr>
        <w:pStyle w:val="Heading3"/>
        <w:jc w:val="both"/>
        <w:rPr/>
      </w:pPr>
      <w:r>
        <w:rPr>
          <w:b w:val="false"/>
          <w:lang w:val="bg-BG"/>
        </w:rPr>
        <w:t xml:space="preserve">Последния период от човешкия живот Бромлей определя като </w:t>
      </w:r>
      <w:r>
        <w:rPr>
          <w:i/>
          <w:lang w:val="bg-BG"/>
        </w:rPr>
        <w:t>период на</w:t>
      </w:r>
      <w:r>
        <w:rPr>
          <w:b w:val="false"/>
          <w:lang w:val="bg-BG"/>
        </w:rPr>
        <w:t xml:space="preserve"> </w:t>
      </w:r>
      <w:r>
        <w:rPr>
          <w:i/>
          <w:lang w:val="bg-BG"/>
        </w:rPr>
        <w:t>стареене,</w:t>
      </w:r>
      <w:r>
        <w:rPr>
          <w:b w:val="false"/>
          <w:lang w:val="bg-BG"/>
        </w:rPr>
        <w:t xml:space="preserve"> който обхваща времето от 65 години до края на живота. Тя го разделя на </w:t>
      </w:r>
      <w:r>
        <w:rPr>
          <w:i/>
          <w:lang w:val="bg-BG"/>
        </w:rPr>
        <w:t>три стадия</w:t>
      </w:r>
      <w:r>
        <w:rPr>
          <w:b w:val="false"/>
          <w:lang w:val="bg-BG"/>
        </w:rPr>
        <w:t xml:space="preserve">:  1) стадий на оттегляне от работа (65-70 години); 2) старост (70 и повече години) и 3) последен стадий на престарялост, болезнена старост и смърт (над 90 години). </w:t>
      </w:r>
    </w:p>
    <w:p>
      <w:pPr>
        <w:pStyle w:val="Heading3"/>
        <w:jc w:val="both"/>
        <w:rPr/>
      </w:pPr>
      <w:r>
        <w:rPr>
          <w:i/>
          <w:lang w:val="bg-BG"/>
        </w:rPr>
        <w:t>Първият стадий</w:t>
      </w:r>
      <w:r>
        <w:rPr>
          <w:b w:val="false"/>
          <w:lang w:val="bg-BG"/>
        </w:rPr>
        <w:t xml:space="preserve"> се характеризира с повишаване на чувствителността  към нарушенията на жизнения стереотип и “психичните безпорядки” в близкото обкръжение: с увеличаване потребността от общуване, изостряне на чувството на привързаност към близките хора, с прекратяване на служебните и обществените функции или продължаване на някои дейности за поддръжка на авторитета и властта; с постепенна адаптация към новите условия на живот, неизискващи постоянни и напрегнати занимания; с влошаване на физическото и умственото здраве. </w:t>
      </w:r>
    </w:p>
    <w:p>
      <w:pPr>
        <w:pStyle w:val="Heading3"/>
        <w:jc w:val="both"/>
        <w:rPr/>
      </w:pPr>
      <w:r>
        <w:rPr>
          <w:i/>
          <w:lang w:val="bg-BG"/>
        </w:rPr>
        <w:t>Старостта</w:t>
      </w:r>
      <w:r>
        <w:rPr>
          <w:lang w:val="bg-BG"/>
        </w:rPr>
        <w:t xml:space="preserve"> </w:t>
      </w:r>
      <w:r>
        <w:rPr>
          <w:b w:val="false"/>
          <w:lang w:val="bg-BG"/>
        </w:rPr>
        <w:t xml:space="preserve">се характеризира с пълна незаетост, с отсъствие на каквито и да са роли, освен семейните, с настъпваща социална изолация, с постепенно намаляване на кръга от близки хора, особено сред връстниците, с физическа и умствена недостатъчност. </w:t>
      </w:r>
    </w:p>
    <w:p>
      <w:pPr>
        <w:pStyle w:val="Heading3"/>
        <w:jc w:val="both"/>
        <w:rPr/>
      </w:pPr>
      <w:r>
        <w:rPr>
          <w:i/>
          <w:lang w:val="bg-BG"/>
        </w:rPr>
        <w:t>Последният стадий</w:t>
      </w:r>
      <w:r>
        <w:rPr>
          <w:b w:val="false"/>
          <w:lang w:val="bg-BG"/>
        </w:rPr>
        <w:t xml:space="preserve"> се характеризира с окончателното нарушаване на биологичните и психичните функции, с хронични болезнени състояния и с настъпване на смъртта. </w:t>
      </w:r>
    </w:p>
    <w:p>
      <w:pPr>
        <w:pStyle w:val="Heading3"/>
        <w:jc w:val="both"/>
        <w:rPr/>
      </w:pPr>
      <w:r>
        <w:rPr>
          <w:b w:val="false"/>
          <w:lang w:val="bg-BG"/>
        </w:rPr>
        <w:t xml:space="preserve">Периодизацията на Д.Б. Бромлей до голяма степен отчита </w:t>
      </w:r>
      <w:r>
        <w:rPr>
          <w:i/>
          <w:lang w:val="bg-BG"/>
        </w:rPr>
        <w:t>комплексното</w:t>
      </w:r>
      <w:r>
        <w:rPr>
          <w:b w:val="false"/>
          <w:i/>
          <w:lang w:val="bg-BG"/>
        </w:rPr>
        <w:t xml:space="preserve"> </w:t>
      </w:r>
      <w:r>
        <w:rPr>
          <w:i/>
          <w:lang w:val="bg-BG"/>
        </w:rPr>
        <w:t>влияние на биологичните, психологическите и социалните фактори</w:t>
      </w:r>
      <w:r>
        <w:rPr>
          <w:b w:val="false"/>
          <w:lang w:val="bg-BG"/>
        </w:rPr>
        <w:t xml:space="preserve"> върху онтогенетичното развитие на човека. Тази периодизация се съгласува до известна степен със сегашната тенденция у нас за увеличаване на възрастта за пенсиониране, както за мъжете, така и за жените. Законодателството в редица страни приемат като горна граница за активна трудова дейност 65 г. за мъжете и 60 за жените. У нас в съответствие  с промените в Кодекса за общественото осигуряване тя е 63 г. за мъжете и 60 г. за жените. </w:t>
      </w:r>
    </w:p>
    <w:p>
      <w:pPr>
        <w:pStyle w:val="Heading3"/>
        <w:jc w:val="both"/>
        <w:rPr/>
      </w:pPr>
      <w:r>
        <w:rPr>
          <w:b w:val="false"/>
          <w:lang w:val="bg-BG"/>
        </w:rPr>
        <w:t>Г.</w:t>
      </w:r>
      <w:r>
        <w:rPr>
          <w:lang w:val="bg-BG"/>
        </w:rPr>
        <w:t xml:space="preserve">Грим </w:t>
      </w:r>
      <w:r>
        <w:rPr>
          <w:b w:val="false"/>
          <w:lang w:val="bg-BG"/>
        </w:rPr>
        <w:t xml:space="preserve">(1967) поставя в основата на своята периодизация морфологичните изменения и динамиката на трудоспособността. Според него през различните периоди на човешкия живот на преден план излизат различни критерии –за по-ранните периоди това са метрико-антропологическите критерии, а за по-късните периоди – динамиката на трудоспособността. Възрастовите граници на  работоспособността  – от достигането на оптимална работоспособност до нейното значително снижаване – са твърде относителни и могат да се колебаят в рамките от 50 до 80-годишна възраст, а и повече. Поради това авторът се въздържа да фиксира строго продължителността на отделните периоди, особено тази на по-късните. </w:t>
      </w:r>
    </w:p>
    <w:p>
      <w:pPr>
        <w:pStyle w:val="Heading3"/>
        <w:jc w:val="both"/>
        <w:rPr/>
      </w:pPr>
      <w:r>
        <w:rPr>
          <w:b w:val="false"/>
          <w:lang w:val="bg-BG"/>
        </w:rPr>
        <w:t xml:space="preserve">И други автори са предпазливи при определяне на границите на възрастовите периоди в онтогенетичното развитие на човека. Така например немските автори </w:t>
      </w:r>
      <w:r>
        <w:rPr>
          <w:lang w:val="bg-BG"/>
        </w:rPr>
        <w:t xml:space="preserve">Льове, Рьослер, Лауер </w:t>
      </w:r>
      <w:r>
        <w:rPr>
          <w:b w:val="false"/>
          <w:lang w:val="bg-BG"/>
        </w:rPr>
        <w:t xml:space="preserve">и др. обръщат внимание на изместването на фазите вследствие на акцелерацията. В своя тематичен анализ на зрялата възраст </w:t>
      </w:r>
      <w:r>
        <w:rPr>
          <w:lang w:val="bg-BG"/>
        </w:rPr>
        <w:t xml:space="preserve">Томе </w:t>
      </w:r>
      <w:r>
        <w:rPr>
          <w:b w:val="false"/>
          <w:lang w:val="bg-BG"/>
        </w:rPr>
        <w:t xml:space="preserve">даже изцяло отрича делението на фази. Той специално подчертава необходимостта винаги да се отчита комплексното влияние на най-различните фактори: </w:t>
      </w:r>
    </w:p>
    <w:p>
      <w:pPr>
        <w:pStyle w:val="Heading3"/>
        <w:numPr>
          <w:ilvl w:val="0"/>
          <w:numId w:val="32"/>
        </w:numPr>
        <w:ind w:left="426" w:hanging="426"/>
        <w:jc w:val="both"/>
        <w:rPr>
          <w:b w:val="false"/>
          <w:b w:val="false"/>
          <w:lang w:val="bg-BG"/>
        </w:rPr>
      </w:pPr>
      <w:r>
        <w:rPr>
          <w:b w:val="false"/>
          <w:lang w:val="bg-BG"/>
        </w:rPr>
        <w:t xml:space="preserve">Ситуация на професионалната и икономическата конкуренция; необходимост от утвърждаване. </w:t>
      </w:r>
    </w:p>
    <w:p>
      <w:pPr>
        <w:pStyle w:val="Heading3"/>
        <w:numPr>
          <w:ilvl w:val="0"/>
          <w:numId w:val="32"/>
        </w:numPr>
        <w:ind w:left="426" w:hanging="426"/>
        <w:jc w:val="both"/>
        <w:rPr>
          <w:b w:val="false"/>
          <w:b w:val="false"/>
          <w:lang w:val="bg-BG"/>
        </w:rPr>
      </w:pPr>
      <w:r>
        <w:rPr>
          <w:b w:val="false"/>
          <w:lang w:val="bg-BG"/>
        </w:rPr>
        <w:t xml:space="preserve">Ситуация в семейството. </w:t>
      </w:r>
    </w:p>
    <w:p>
      <w:pPr>
        <w:pStyle w:val="Heading3"/>
        <w:numPr>
          <w:ilvl w:val="0"/>
          <w:numId w:val="32"/>
        </w:numPr>
        <w:ind w:left="426" w:hanging="426"/>
        <w:jc w:val="both"/>
        <w:rPr>
          <w:b w:val="false"/>
          <w:b w:val="false"/>
          <w:lang w:val="bg-BG"/>
        </w:rPr>
      </w:pPr>
      <w:r>
        <w:rPr>
          <w:b w:val="false"/>
          <w:lang w:val="bg-BG"/>
        </w:rPr>
        <w:t xml:space="preserve">Съзнаване на несъвършенството на битието. </w:t>
      </w:r>
    </w:p>
    <w:p>
      <w:pPr>
        <w:pStyle w:val="Heading3"/>
        <w:numPr>
          <w:ilvl w:val="0"/>
          <w:numId w:val="32"/>
        </w:numPr>
        <w:ind w:left="426" w:hanging="426"/>
        <w:jc w:val="both"/>
        <w:rPr>
          <w:b w:val="false"/>
          <w:b w:val="false"/>
          <w:lang w:val="bg-BG"/>
        </w:rPr>
      </w:pPr>
      <w:r>
        <w:rPr>
          <w:b w:val="false"/>
          <w:lang w:val="bg-BG"/>
        </w:rPr>
        <w:t xml:space="preserve">Сблъскване с монотонността на собственото битие. </w:t>
      </w:r>
    </w:p>
    <w:p>
      <w:pPr>
        <w:pStyle w:val="Heading3"/>
        <w:numPr>
          <w:ilvl w:val="0"/>
          <w:numId w:val="32"/>
        </w:numPr>
        <w:ind w:left="426" w:hanging="426"/>
        <w:jc w:val="both"/>
        <w:rPr>
          <w:b w:val="false"/>
          <w:b w:val="false"/>
          <w:lang w:val="bg-BG"/>
        </w:rPr>
      </w:pPr>
      <w:r>
        <w:rPr>
          <w:b w:val="false"/>
          <w:lang w:val="bg-BG"/>
        </w:rPr>
        <w:t xml:space="preserve">Съзнаване окончателното съществуване на собствената съдба. </w:t>
      </w:r>
    </w:p>
    <w:p>
      <w:pPr>
        <w:pStyle w:val="Heading3"/>
        <w:numPr>
          <w:ilvl w:val="0"/>
          <w:numId w:val="32"/>
        </w:numPr>
        <w:ind w:left="426" w:hanging="426"/>
        <w:jc w:val="both"/>
        <w:rPr>
          <w:b w:val="false"/>
          <w:b w:val="false"/>
          <w:lang w:val="bg-BG"/>
        </w:rPr>
      </w:pPr>
      <w:r>
        <w:rPr>
          <w:b w:val="false"/>
          <w:lang w:val="bg-BG"/>
        </w:rPr>
        <w:t xml:space="preserve">Конфронтация с края на битието и пр.  </w:t>
      </w:r>
    </w:p>
    <w:p>
      <w:pPr>
        <w:pStyle w:val="Heading3"/>
        <w:jc w:val="both"/>
        <w:rPr/>
      </w:pPr>
      <w:r>
        <w:rPr>
          <w:b w:val="false"/>
          <w:lang w:val="bg-BG"/>
        </w:rPr>
        <w:t xml:space="preserve">Особеностите на </w:t>
      </w:r>
      <w:r>
        <w:rPr>
          <w:i/>
          <w:lang w:val="bg-BG"/>
        </w:rPr>
        <w:t>личностно-професионалното раз</w:t>
      </w:r>
      <w:r>
        <w:rPr>
          <w:lang w:val="bg-BG"/>
        </w:rPr>
        <w:t>витие</w:t>
      </w:r>
      <w:r>
        <w:rPr>
          <w:b w:val="false"/>
          <w:lang w:val="bg-BG"/>
        </w:rPr>
        <w:t xml:space="preserve"> в зрялата възраст са предмет на разглеждане и от  С.Е. </w:t>
      </w:r>
      <w:r>
        <w:rPr>
          <w:lang w:val="bg-BG"/>
        </w:rPr>
        <w:t>Пиняева</w:t>
      </w:r>
      <w:r>
        <w:rPr>
          <w:b w:val="false"/>
          <w:lang w:val="bg-BG"/>
        </w:rPr>
        <w:t xml:space="preserve"> и Н.В. </w:t>
      </w:r>
      <w:r>
        <w:rPr>
          <w:lang w:val="bg-BG"/>
        </w:rPr>
        <w:t>Андрее</w:t>
      </w:r>
      <w:r>
        <w:rPr>
          <w:b w:val="false"/>
          <w:lang w:val="bg-BG"/>
        </w:rPr>
        <w:t xml:space="preserve">в (38). Те внасят важно уточнение в постановката, че зрелостта на личността обикновено е предпоставка за професионалното изграждане и усъвършенстване. Според тях съществуват немалко професии, при които доминиращо значение имат тясно специализираните професионални знания, умения и навици. Но за професиите от типа “човек-човек” личностното развитие е важно условие и необходим компонент за формирането на професионалиста. </w:t>
      </w:r>
    </w:p>
    <w:p>
      <w:pPr>
        <w:pStyle w:val="Heading2"/>
        <w:rPr>
          <w:lang w:val="bg-BG"/>
        </w:rPr>
      </w:pPr>
      <w:bookmarkStart w:id="7" w:name="__RefHeading___Toc89859668"/>
      <w:bookmarkEnd w:id="7"/>
      <w:r>
        <w:rPr>
          <w:lang w:val="bg-BG"/>
        </w:rPr>
        <w:t>2.2. ОБЩА ХАРАКТЕРИСТИКА НА ТРЕТАТА ВЪЗРАСТ, НА МЕТОДИТЕ И ПОДХОДИТЕ  ЗА НЕЙНОТО ИЗСЛЕДВАНЕ</w:t>
      </w:r>
    </w:p>
    <w:p>
      <w:pPr>
        <w:pStyle w:val="Heading4"/>
        <w:rPr/>
      </w:pPr>
      <w:r>
        <w:rPr/>
        <w:t>2.2.1.</w:t>
      </w:r>
      <w:r>
        <w:rPr>
          <w:lang w:val="en-US"/>
        </w:rPr>
        <w:t xml:space="preserve"> </w:t>
      </w:r>
      <w:r>
        <w:rPr/>
        <w:t>За неопределеността на границите на третата възраст</w:t>
      </w:r>
    </w:p>
    <w:p>
      <w:pPr>
        <w:pStyle w:val="NormalText"/>
        <w:rPr/>
      </w:pPr>
      <w:r>
        <w:rPr/>
        <w:t xml:space="preserve">Мнозина автори с основание твърдят, че съществуват много големи </w:t>
      </w:r>
      <w:r>
        <w:rPr>
          <w:i/>
        </w:rPr>
        <w:t xml:space="preserve">трудности </w:t>
      </w:r>
      <w:r>
        <w:rPr/>
        <w:t xml:space="preserve">при определяне на </w:t>
      </w:r>
      <w:r>
        <w:rPr>
          <w:i/>
        </w:rPr>
        <w:t>точните граници на  така наречената “трета възраст</w:t>
      </w:r>
      <w:r>
        <w:rPr/>
        <w:t xml:space="preserve">”. В.Д. Шапиро например изтъква, че стареенето е продължителен и плавен процес, че старостта не настъпва изведнъж. “Стареенето на индивидите и отделните групи хора – отбелязва авторът, - става различно във времето – у едни започва по-рано, а у други – по-късно. С увеличаване на продължителността на живота, а това е характерно явление за съвременната епоха, се изменят и възгледите за възрастовата периодизация. Накрая известна сложност представлява и взаимовръзката между различните прояви на старостта: биологически, психични, икономически и социални” (61,с.7-8). Като сравнява различните възрастови периодизации, той  посочва, че границите на старостта се колебаят  в много широк диапазон - от 45 до 70 години. При това не са редки случаите, когато  в резултат на болестни изменения процесите на стареене да засегнат в по-голяма или по-малка степен различни органи и системи на човека. С други думи, образно казано, лице на 20 години може да има “30-годишно сърце”, “60-годишна реактивност” и дори “80-годишни очи”. </w:t>
      </w:r>
    </w:p>
    <w:p>
      <w:pPr>
        <w:pStyle w:val="Heading3"/>
        <w:jc w:val="both"/>
        <w:rPr/>
      </w:pPr>
      <w:r>
        <w:rPr>
          <w:lang w:val="bg-BG"/>
        </w:rPr>
        <w:t>Третата възраст</w:t>
      </w:r>
      <w:r>
        <w:rPr>
          <w:b w:val="false"/>
          <w:lang w:val="bg-BG"/>
        </w:rPr>
        <w:t xml:space="preserve"> според Г. </w:t>
      </w:r>
      <w:r>
        <w:rPr>
          <w:lang w:val="bg-BG"/>
        </w:rPr>
        <w:t>Йолов</w:t>
      </w:r>
      <w:r>
        <w:rPr>
          <w:b w:val="false"/>
          <w:lang w:val="bg-BG"/>
        </w:rPr>
        <w:t xml:space="preserve"> е многозначна, защото е процес и резултат от реализацията на социално-демографската структура на обществото. “Възможни са най-малко две оценки – в междувъзрастов план на поколенията и от позициите на онтологичната линия. Напълно възможно е и трета оценка, свързана предимно с трудово-активната сфера на дейност. Когато се потърсят и други критерии, неизбежно се стига до икономическите, обществено-политическите, социално-историческите и не без значение именно в този случай са и половите различия между възрастните хора” (24,с.17-18). </w:t>
      </w:r>
    </w:p>
    <w:p>
      <w:pPr>
        <w:pStyle w:val="Heading3"/>
        <w:jc w:val="both"/>
        <w:rPr/>
      </w:pPr>
      <w:r>
        <w:rPr>
          <w:b w:val="false"/>
          <w:lang w:val="bg-BG"/>
        </w:rPr>
        <w:t xml:space="preserve">Не съществува единство между специалистите по отношение както  на долната, така и на горната  граница на третата възраст.  Едни учени приемат, че  началото на старостта започва след навършване на 60-годишна възраст, според други – след навършване на 65-годишна възраст. Твърде често тази долна граница се свързва и с юридически основания, т.е. с пенсионното законодателство, което обаче не е еднакво за различните страни. В много страни, както и у нас,  съществува различие  и по отношение на възрастта на пенсиониране на мъжете и на жените. Независимо от това едни автори  определят периода от 60 (65) до 75 години (както за мъжете, така и за жените)  като късна зрелост, а други предпочитат да говорят за напреднала възраст. От 75 до 90 години  вече се говори за старческа възраст, доколкото в тази възрастова граница наистина се наблюдава съществено изменение в трудовата и обществената дейност на тази категория лица, в цялостния им социален и личностен статус. Има автори, които обособяват старческата възраст като самостоятелен цикъл, т.е. като </w:t>
      </w:r>
      <w:r>
        <w:rPr>
          <w:lang w:val="bg-BG"/>
        </w:rPr>
        <w:t>четвърта възраст</w:t>
      </w:r>
      <w:r>
        <w:rPr>
          <w:b w:val="false"/>
          <w:lang w:val="bg-BG"/>
        </w:rPr>
        <w:t xml:space="preserve">, но това схващане не е придобило гражданственост.  Тази постановка до голяма степен се съгласува с </w:t>
      </w:r>
      <w:r>
        <w:rPr>
          <w:i/>
          <w:lang w:val="bg-BG"/>
        </w:rPr>
        <w:t>класификацията на Световната здравна организация (СЗО)</w:t>
      </w:r>
      <w:r>
        <w:rPr>
          <w:lang w:val="bg-BG"/>
        </w:rPr>
        <w:t xml:space="preserve"> </w:t>
      </w:r>
      <w:r>
        <w:rPr>
          <w:b w:val="false"/>
          <w:lang w:val="bg-BG"/>
        </w:rPr>
        <w:t>за отделните възрастови групи:</w:t>
      </w:r>
    </w:p>
    <w:p>
      <w:pPr>
        <w:pStyle w:val="Heading3"/>
        <w:numPr>
          <w:ilvl w:val="0"/>
          <w:numId w:val="76"/>
        </w:numPr>
        <w:jc w:val="both"/>
        <w:rPr>
          <w:b w:val="false"/>
          <w:b w:val="false"/>
          <w:lang w:val="bg-BG"/>
        </w:rPr>
      </w:pPr>
      <w:r>
        <w:rPr>
          <w:b w:val="false"/>
          <w:lang w:val="bg-BG"/>
        </w:rPr>
        <w:t xml:space="preserve">Млада възраст – до 45 години. </w:t>
      </w:r>
    </w:p>
    <w:p>
      <w:pPr>
        <w:pStyle w:val="Heading3"/>
        <w:numPr>
          <w:ilvl w:val="0"/>
          <w:numId w:val="76"/>
        </w:numPr>
        <w:jc w:val="both"/>
        <w:rPr>
          <w:b w:val="false"/>
          <w:b w:val="false"/>
          <w:lang w:val="bg-BG"/>
        </w:rPr>
      </w:pPr>
      <w:r>
        <w:rPr>
          <w:b w:val="false"/>
          <w:lang w:val="bg-BG"/>
        </w:rPr>
        <w:t>Средна възраст – от 45 до 60 години.</w:t>
      </w:r>
    </w:p>
    <w:p>
      <w:pPr>
        <w:pStyle w:val="Heading3"/>
        <w:numPr>
          <w:ilvl w:val="0"/>
          <w:numId w:val="76"/>
        </w:numPr>
        <w:jc w:val="both"/>
        <w:rPr>
          <w:b w:val="false"/>
          <w:b w:val="false"/>
          <w:lang w:val="bg-BG"/>
        </w:rPr>
      </w:pPr>
      <w:r>
        <w:rPr>
          <w:b w:val="false"/>
          <w:lang w:val="bg-BG"/>
        </w:rPr>
        <w:t xml:space="preserve">Напреднала възраст – от 60 до 75 години. </w:t>
      </w:r>
    </w:p>
    <w:p>
      <w:pPr>
        <w:pStyle w:val="Heading3"/>
        <w:numPr>
          <w:ilvl w:val="0"/>
          <w:numId w:val="76"/>
        </w:numPr>
        <w:jc w:val="both"/>
        <w:rPr>
          <w:b w:val="false"/>
          <w:b w:val="false"/>
          <w:lang w:val="bg-BG"/>
        </w:rPr>
      </w:pPr>
      <w:r>
        <w:rPr>
          <w:b w:val="false"/>
          <w:lang w:val="bg-BG"/>
        </w:rPr>
        <w:t xml:space="preserve">Старческа възраст – от 75 до 90 години. </w:t>
      </w:r>
    </w:p>
    <w:p>
      <w:pPr>
        <w:pStyle w:val="Heading3"/>
        <w:numPr>
          <w:ilvl w:val="0"/>
          <w:numId w:val="76"/>
        </w:numPr>
        <w:jc w:val="both"/>
        <w:rPr>
          <w:b w:val="false"/>
          <w:b w:val="false"/>
          <w:lang w:val="bg-BG"/>
        </w:rPr>
      </w:pPr>
      <w:r>
        <w:rPr>
          <w:b w:val="false"/>
          <w:lang w:val="bg-BG"/>
        </w:rPr>
        <w:t xml:space="preserve">Дълголетници (макробиоти)– от 90 години до смъртта. </w:t>
      </w:r>
    </w:p>
    <w:p>
      <w:pPr>
        <w:pStyle w:val="Heading3"/>
        <w:ind w:left="60" w:firstLine="567"/>
        <w:jc w:val="both"/>
        <w:rPr>
          <w:b w:val="false"/>
          <w:b w:val="false"/>
          <w:lang w:val="bg-BG"/>
        </w:rPr>
      </w:pPr>
      <w:r>
        <w:rPr>
          <w:b w:val="false"/>
          <w:lang w:val="bg-BG"/>
        </w:rPr>
        <w:t xml:space="preserve">Както е известно, във връзка с обявяването на 1982 г. за година на възрастните хора, ООН прие за начало на третата възраст 65 навършени години. </w:t>
      </w:r>
    </w:p>
    <w:p>
      <w:pPr>
        <w:pStyle w:val="Heading4"/>
        <w:rPr/>
      </w:pPr>
      <w:r>
        <w:rPr/>
        <w:t>2.2.2. Третата възраст – по-важни параметри</w:t>
      </w:r>
    </w:p>
    <w:p>
      <w:pPr>
        <w:pStyle w:val="Heading3"/>
        <w:jc w:val="both"/>
        <w:rPr/>
      </w:pPr>
      <w:r>
        <w:rPr>
          <w:i/>
          <w:lang w:val="bg-BG"/>
        </w:rPr>
        <w:t>Разглежданата  периодизация</w:t>
      </w:r>
      <w:r>
        <w:rPr>
          <w:b w:val="false"/>
          <w:lang w:val="bg-BG"/>
        </w:rPr>
        <w:t xml:space="preserve">  в никакъв случай </w:t>
      </w:r>
      <w:r>
        <w:rPr>
          <w:i/>
          <w:lang w:val="bg-BG"/>
        </w:rPr>
        <w:t>не може да се приема като</w:t>
      </w:r>
      <w:r>
        <w:rPr>
          <w:b w:val="false"/>
          <w:lang w:val="bg-BG"/>
        </w:rPr>
        <w:t xml:space="preserve"> </w:t>
      </w:r>
      <w:r>
        <w:rPr>
          <w:i/>
          <w:lang w:val="bg-BG"/>
        </w:rPr>
        <w:t>абсолютна</w:t>
      </w:r>
      <w:r>
        <w:rPr>
          <w:b w:val="false"/>
          <w:lang w:val="bg-BG"/>
        </w:rPr>
        <w:t xml:space="preserve">, защото положителните тенденции за изменение на социалните, медицинските и личностните детерминанти на третата възраст внасят съществени корекции в цялостната характеристика на тази категория лица. С основание някои учени говорят за революция на дълголетието.  Както изтъква Р. </w:t>
      </w:r>
      <w:r>
        <w:rPr>
          <w:lang w:val="bg-BG"/>
        </w:rPr>
        <w:t>Бътлър</w:t>
      </w:r>
      <w:r>
        <w:rPr>
          <w:b w:val="false"/>
          <w:lang w:val="bg-BG"/>
        </w:rPr>
        <w:t xml:space="preserve">, “през последните 100 години се извърши една колкото мълчалива, толкова и нечувана революция: тази на дълголетието. Жителите на индустриалния свят спечелиха средно по 25 допълнителни години живот благодарение на намаляването на детската смъртност и овладяването на болестите, свързани със старостта. Продължителността на живота се е увеличила за едно столетие толкова, колкото в течение на предходните 5000 години. В редица страни най-бързо нараства групата на хората над 85 години” (10, с.8). Оптимистичната прогноза на автора е, че през нашия век профилактиката, премахването на болести, както и контролът върху процеса на стареене ще могат да изместят очакванията за средната продължителност на живота на световно равнище от 66 до 110 или 120 години. Според него тази пределна възраст отговаря на “естествената продължителност на човешкия живот”, след като значителен брой индивиди са живели по толкова. Някои учени говорят за изместване на границата още по-далеч, чрез овладяване на гените, които обуславят дълголетието. Всичко това обаче си има цена: демографското равновесие се накланя все повече към възрастните хора, а това подлага на тежко изпитание културния, политическия и икономическия ред на обществото.  </w:t>
      </w:r>
    </w:p>
    <w:p>
      <w:pPr>
        <w:pStyle w:val="Heading3"/>
        <w:jc w:val="both"/>
        <w:rPr/>
      </w:pPr>
      <w:r>
        <w:rPr>
          <w:b w:val="false"/>
          <w:lang w:val="bg-BG"/>
        </w:rPr>
        <w:t xml:space="preserve">Очевидно е, че </w:t>
      </w:r>
      <w:r>
        <w:rPr>
          <w:i/>
          <w:lang w:val="bg-BG"/>
        </w:rPr>
        <w:t>тенденцията на горната граница на третата възраст е още по-неопределена в сравнение с нейната долна граница</w:t>
      </w:r>
      <w:r>
        <w:rPr>
          <w:b w:val="false"/>
          <w:lang w:val="bg-BG"/>
        </w:rPr>
        <w:t xml:space="preserve">. Динамиката на средната продължителност на живота, отличаваща се с трайна тенденция към бързо увеличаване, прави вътрешната периодизация на тази възраст още по-условна. Някои данни показват, че своеобразни скокове в числения състав на възрастните хора се наблюдават през периодите 75-79 години; 90-94 години. Сравнително по-стабилни са периодите 60-64; 65-69; 68-89 години. От гледна точка на разликите между мъже и жени периодите се представят като по-стабилни за мъжете: 60-64; 65-69; 70-74; а за жените: 60-64; 65-69; 80-84; 85-89; 90-94 и особено след 100 години (цит. по 24,с.21). </w:t>
      </w:r>
    </w:p>
    <w:p>
      <w:pPr>
        <w:pStyle w:val="Heading3"/>
        <w:ind w:left="60" w:firstLine="567"/>
        <w:jc w:val="both"/>
        <w:rPr/>
      </w:pPr>
      <w:r>
        <w:rPr>
          <w:i/>
          <w:lang w:val="bg-BG"/>
        </w:rPr>
        <w:t>Тенденцията за увеличаване на дълголетието</w:t>
      </w:r>
      <w:r>
        <w:rPr>
          <w:b w:val="false"/>
          <w:lang w:val="bg-BG"/>
        </w:rPr>
        <w:t xml:space="preserve"> поставя редица </w:t>
      </w:r>
      <w:r>
        <w:rPr>
          <w:i/>
          <w:lang w:val="bg-BG"/>
        </w:rPr>
        <w:t>предизвикателства</w:t>
      </w:r>
      <w:r>
        <w:rPr>
          <w:b w:val="false"/>
          <w:lang w:val="bg-BG"/>
        </w:rPr>
        <w:t xml:space="preserve"> пред човечеството. На някои от тях обръща внимание  Р. </w:t>
      </w:r>
      <w:r>
        <w:rPr>
          <w:lang w:val="bg-BG"/>
        </w:rPr>
        <w:t>Бътлър.</w:t>
      </w:r>
      <w:r>
        <w:rPr>
          <w:b w:val="false"/>
          <w:lang w:val="bg-BG"/>
        </w:rPr>
        <w:t xml:space="preserve"> Той с основание поставя проблеми:</w:t>
      </w:r>
    </w:p>
    <w:p>
      <w:pPr>
        <w:pStyle w:val="Heading3"/>
        <w:numPr>
          <w:ilvl w:val="0"/>
          <w:numId w:val="77"/>
        </w:numPr>
        <w:jc w:val="both"/>
        <w:rPr>
          <w:b w:val="false"/>
          <w:b w:val="false"/>
          <w:lang w:val="bg-BG"/>
        </w:rPr>
      </w:pPr>
      <w:r>
        <w:rPr>
          <w:b w:val="false"/>
          <w:lang w:val="bg-BG"/>
        </w:rPr>
        <w:t xml:space="preserve">“ </w:t>
      </w:r>
      <w:r>
        <w:rPr>
          <w:b w:val="false"/>
          <w:lang w:val="bg-BG"/>
        </w:rPr>
        <w:t xml:space="preserve">-  В една епоха, когато държавата е поставена под съмнение, кой ще осигурява финансовата поддръжка на най-възрастните? Държавата или индивидът?  </w:t>
      </w:r>
    </w:p>
    <w:p>
      <w:pPr>
        <w:pStyle w:val="Heading3"/>
        <w:numPr>
          <w:ilvl w:val="0"/>
          <w:numId w:val="77"/>
        </w:numPr>
        <w:jc w:val="both"/>
        <w:rPr>
          <w:b w:val="false"/>
          <w:b w:val="false"/>
          <w:lang w:val="bg-BG"/>
        </w:rPr>
      </w:pPr>
      <w:r>
        <w:rPr>
          <w:b w:val="false"/>
          <w:lang w:val="bg-BG"/>
        </w:rPr>
        <w:t>Застаряването на обществото ще доведе ли до икономически застой?</w:t>
      </w:r>
    </w:p>
    <w:p>
      <w:pPr>
        <w:pStyle w:val="Heading3"/>
        <w:numPr>
          <w:ilvl w:val="0"/>
          <w:numId w:val="77"/>
        </w:numPr>
        <w:jc w:val="both"/>
        <w:rPr>
          <w:b w:val="false"/>
          <w:b w:val="false"/>
          <w:lang w:val="bg-BG"/>
        </w:rPr>
      </w:pPr>
      <w:r>
        <w:rPr>
          <w:b w:val="false"/>
          <w:lang w:val="bg-BG"/>
        </w:rPr>
        <w:t>Ще се превърнат ли старите хора в политически силно малцинство? И ако да, какви ще бъдат изискванията му?</w:t>
      </w:r>
    </w:p>
    <w:p>
      <w:pPr>
        <w:pStyle w:val="Heading3"/>
        <w:numPr>
          <w:ilvl w:val="0"/>
          <w:numId w:val="72"/>
        </w:numPr>
        <w:jc w:val="both"/>
        <w:rPr>
          <w:b w:val="false"/>
          <w:b w:val="false"/>
          <w:lang w:val="bg-BG"/>
        </w:rPr>
      </w:pPr>
      <w:r>
        <w:rPr>
          <w:b w:val="false"/>
          <w:lang w:val="bg-BG"/>
        </w:rPr>
        <w:t xml:space="preserve">Като удължаваме престоя си на тази планета, ще можем ли да поддържаме известно качество на живот или сме осъдени да остаряваме сред болести и финансова несигурност? </w:t>
      </w:r>
    </w:p>
    <w:p>
      <w:pPr>
        <w:pStyle w:val="Heading3"/>
        <w:numPr>
          <w:ilvl w:val="0"/>
          <w:numId w:val="72"/>
        </w:numPr>
        <w:jc w:val="both"/>
        <w:rPr>
          <w:b w:val="false"/>
          <w:b w:val="false"/>
          <w:lang w:val="bg-BG"/>
        </w:rPr>
      </w:pPr>
      <w:r>
        <w:rPr>
          <w:b w:val="false"/>
          <w:lang w:val="bg-BG"/>
        </w:rPr>
        <w:t xml:space="preserve">В културно отношение ще се прехвърли ли сегашният интерес към младите отчасти и към възрастните?” (10, с. 8-9). </w:t>
      </w:r>
    </w:p>
    <w:p>
      <w:pPr>
        <w:pStyle w:val="Heading3"/>
        <w:ind w:left="60" w:firstLine="567"/>
        <w:jc w:val="both"/>
        <w:rPr/>
      </w:pPr>
      <w:r>
        <w:rPr>
          <w:b w:val="false"/>
          <w:lang w:val="bg-BG"/>
        </w:rPr>
        <w:t xml:space="preserve">Както посочва авторът, много от тези предизвикателства засягат особено жените, защото в индустриализираните страни те живеят по-дълго от мъжете. Увеличаването на дълголетието предизвиква коренни промени в живота ни, за които едва си даваме сметка. В Съединените американски щати например едно дете на 10 години през 1920 г. е имало 40 на сто шанс да се радва на двама живи баби и дядовци. Днес тази възможност е 80 на сто. В действителност никога броят на семействата, в които съжителстват няколко поколения, не е бил така значителен. </w:t>
      </w:r>
    </w:p>
    <w:p>
      <w:pPr>
        <w:pStyle w:val="Heading3"/>
        <w:ind w:left="60" w:firstLine="567"/>
        <w:jc w:val="both"/>
        <w:rPr/>
      </w:pPr>
      <w:r>
        <w:rPr>
          <w:b w:val="false"/>
          <w:lang w:val="bg-BG"/>
        </w:rPr>
        <w:t xml:space="preserve">Според него засилващата се демографска тежест на възрастните хора изисква преосмисляне на редица досегашни представи за тях. Така например в индустриално развитите страни ярко се откроява тенденцията за значително подобряване на живота на най-възрастните. Докато през 50-те години средната възраст за приемане в старческите домове е била 65 години, сега тя е почти 81 години. На възрастните хора е предоставен и по-голям избор за начин на живот: грижи в здравно заведение, помощ вкъщи, гледане в семейството или от съседи. Благодарение на превантивната медицина, на постоянния контрол над  пациентите, на  прогреса в борбата със сърдечните заболявания рязко спада процентът на смъртността сред тях. </w:t>
      </w:r>
    </w:p>
    <w:p>
      <w:pPr>
        <w:pStyle w:val="Heading3"/>
        <w:jc w:val="both"/>
        <w:rPr/>
      </w:pPr>
      <w:r>
        <w:rPr>
          <w:i/>
          <w:lang w:val="bg-BG"/>
        </w:rPr>
        <w:t>Възрастните се превръщат във важна категория потребители с твърде специфични нужди</w:t>
      </w:r>
      <w:r>
        <w:rPr>
          <w:b w:val="false"/>
          <w:lang w:val="bg-BG"/>
        </w:rPr>
        <w:t>. В Япония държавата поема издръжката на възрастните граждани в здравните заведения или вкъщи. Тя е развила цяла поредица от индустрии, за задоволяване на потребностите на “белоглавите” (жилища, пътувания, развлечения и др.). Същото се отнася и за САЩ. Там    пенсионните фондове представляват около една четвърт от брутния основен капитал. Фармацевтичните компании, за да увеличат печалбите си, все повече се насочват към нуждите на тази категория лица. Според някои данни в индустриалните страни хората над 65 години съставляват около 15 на сто от населението, но консумират около 30 на сто от лекарствата.</w:t>
      </w:r>
    </w:p>
    <w:p>
      <w:pPr>
        <w:pStyle w:val="Heading3"/>
        <w:jc w:val="both"/>
        <w:rPr/>
      </w:pPr>
      <w:r>
        <w:rPr>
          <w:b w:val="false"/>
          <w:lang w:val="bg-BG"/>
        </w:rPr>
        <w:t xml:space="preserve">Обстоятелството, че </w:t>
      </w:r>
      <w:r>
        <w:rPr>
          <w:i/>
          <w:lang w:val="bg-BG"/>
        </w:rPr>
        <w:t>възрастните хора са една значителна популация</w:t>
      </w:r>
      <w:r>
        <w:rPr>
          <w:b w:val="false"/>
          <w:lang w:val="bg-BG"/>
        </w:rPr>
        <w:t xml:space="preserve"> в съвременното общество,  директно поставя въпроса за тяхното рационално участие в различните сфери на живот и дейност. Р. </w:t>
      </w:r>
      <w:r>
        <w:rPr>
          <w:lang w:val="bg-BG"/>
        </w:rPr>
        <w:t>Бътлър</w:t>
      </w:r>
      <w:r>
        <w:rPr>
          <w:b w:val="false"/>
          <w:lang w:val="bg-BG"/>
        </w:rPr>
        <w:t xml:space="preserve"> поставя един изключително важен въпрос: След като живеем по-дълго, не трябва ли и да работим по-дълго? Той отговаря утвърдително на този въпрос. “В Съединените щати – пише той,- ако не променим поведението си, към 2020 г. навярно ще имаме около 60 милиона свободни пенсионери. Не можем да си позволим лукса на такова число незаети хора. Приемането през 1988 г. на закона срещу възрастовата дискриминация представлява крачка напред: повече не сме принудени да излизаме в пенсия на определена възраст. Трудовата борса вече погълна милиони жени и членове на малцинствата; не виждаме защо да не се предлага работа и на възрастните хора… Очакват ни и редица други предизвикателства. Като цяло развиващите се страни още не се радват на увеличаването на дълголетието и на спада на раждаемостта, установени в индустриалните държави: 60 на сто от хората на възраст над 60 години на планетата живеят в развиващите се страни, към 2025 г. те вероятно ще бъдат 80 на сто. Следователно революцията на голямата възраст ще окаже дълбоко социално, икономическо и политическо влияние в целия свят” (10, с.10). </w:t>
      </w:r>
    </w:p>
    <w:p>
      <w:pPr>
        <w:pStyle w:val="Heading3"/>
        <w:jc w:val="both"/>
        <w:rPr/>
      </w:pPr>
      <w:r>
        <w:rPr>
          <w:b w:val="false"/>
          <w:lang w:val="bg-BG"/>
        </w:rPr>
        <w:t xml:space="preserve">Както е известно, докато през ХVІІ-ХVІІІ век възрастните хора в американското общество са били на почит, през ХІХ  до началото на ХХ век са налице явни признаци на </w:t>
      </w:r>
      <w:r>
        <w:rPr>
          <w:lang w:val="bg-BG"/>
        </w:rPr>
        <w:t>геронтофобия.</w:t>
      </w:r>
      <w:r>
        <w:rPr>
          <w:b w:val="false"/>
          <w:lang w:val="bg-BG"/>
        </w:rPr>
        <w:t xml:space="preserve"> Промяната се обяснява предимно с икономически причини,  най-вече с трансформацията на обществото от селско в градско. През този период главните герои на американското общество са младите заселници и каубои. От началото на ХХ век старостта започва да се осъзнава като социален проблем и се предприемат различни законодателни инициативи в това отношение. Законът против </w:t>
      </w:r>
      <w:r>
        <w:rPr>
          <w:i/>
          <w:lang w:val="bg-BG"/>
        </w:rPr>
        <w:t>възрастовата дискриминация (ейджизма</w:t>
      </w:r>
      <w:r>
        <w:rPr>
          <w:lang w:val="bg-BG"/>
        </w:rPr>
        <w:t>)</w:t>
      </w:r>
      <w:r>
        <w:rPr>
          <w:b w:val="false"/>
          <w:lang w:val="bg-BG"/>
        </w:rPr>
        <w:t xml:space="preserve"> забранява: </w:t>
      </w:r>
    </w:p>
    <w:p>
      <w:pPr>
        <w:pStyle w:val="Heading3"/>
        <w:numPr>
          <w:ilvl w:val="0"/>
          <w:numId w:val="56"/>
        </w:numPr>
        <w:jc w:val="both"/>
        <w:rPr>
          <w:b w:val="false"/>
          <w:b w:val="false"/>
          <w:lang w:val="bg-BG"/>
        </w:rPr>
      </w:pPr>
      <w:r>
        <w:rPr>
          <w:b w:val="false"/>
          <w:lang w:val="bg-BG"/>
        </w:rPr>
        <w:t xml:space="preserve">Неназначаване на възрастен работник между 40-70 години поради възраст. </w:t>
      </w:r>
    </w:p>
    <w:p>
      <w:pPr>
        <w:pStyle w:val="Heading3"/>
        <w:numPr>
          <w:ilvl w:val="0"/>
          <w:numId w:val="56"/>
        </w:numPr>
        <w:jc w:val="both"/>
        <w:rPr>
          <w:b w:val="false"/>
          <w:b w:val="false"/>
          <w:lang w:val="bg-BG"/>
        </w:rPr>
      </w:pPr>
      <w:r>
        <w:rPr>
          <w:b w:val="false"/>
          <w:lang w:val="bg-BG"/>
        </w:rPr>
        <w:t xml:space="preserve">Освобождаване от работа по същата причина. </w:t>
      </w:r>
    </w:p>
    <w:p>
      <w:pPr>
        <w:pStyle w:val="Heading3"/>
        <w:numPr>
          <w:ilvl w:val="0"/>
          <w:numId w:val="56"/>
        </w:numPr>
        <w:jc w:val="both"/>
        <w:rPr>
          <w:b w:val="false"/>
          <w:b w:val="false"/>
          <w:lang w:val="bg-BG"/>
        </w:rPr>
      </w:pPr>
      <w:r>
        <w:rPr>
          <w:b w:val="false"/>
          <w:lang w:val="bg-BG"/>
        </w:rPr>
        <w:t xml:space="preserve">Различия в заплащането поради възрастта. </w:t>
      </w:r>
    </w:p>
    <w:p>
      <w:pPr>
        <w:pStyle w:val="Heading3"/>
        <w:numPr>
          <w:ilvl w:val="0"/>
          <w:numId w:val="56"/>
        </w:numPr>
        <w:jc w:val="both"/>
        <w:rPr>
          <w:b w:val="false"/>
          <w:b w:val="false"/>
          <w:lang w:val="bg-BG"/>
        </w:rPr>
      </w:pPr>
      <w:r>
        <w:rPr>
          <w:b w:val="false"/>
          <w:lang w:val="bg-BG"/>
        </w:rPr>
        <w:t xml:space="preserve">Ограничения или категоризиране на служителите в техен ущърб на основание на възрастта.  </w:t>
      </w:r>
    </w:p>
    <w:p>
      <w:pPr>
        <w:pStyle w:val="Heading3"/>
        <w:numPr>
          <w:ilvl w:val="0"/>
          <w:numId w:val="56"/>
        </w:numPr>
        <w:jc w:val="both"/>
        <w:rPr/>
      </w:pPr>
      <w:r>
        <w:rPr>
          <w:b w:val="false"/>
          <w:lang w:val="bg-BG"/>
        </w:rPr>
        <w:t xml:space="preserve">Инструктиране на службите по назначаване на работа да не сключват трудови договори с лица поради възрастта им или да ги назначават само на определени длъжности. </w:t>
      </w:r>
    </w:p>
    <w:p>
      <w:pPr>
        <w:pStyle w:val="Heading3"/>
        <w:numPr>
          <w:ilvl w:val="0"/>
          <w:numId w:val="56"/>
        </w:numPr>
        <w:jc w:val="both"/>
        <w:rPr>
          <w:b w:val="false"/>
          <w:b w:val="false"/>
          <w:lang w:val="bg-BG"/>
        </w:rPr>
      </w:pPr>
      <w:r>
        <w:rPr>
          <w:b w:val="false"/>
          <w:lang w:val="bg-BG"/>
        </w:rPr>
        <w:t xml:space="preserve">Поставяне на обяви с предпочитания към възрастта и посочване на възрастови ограничения.  </w:t>
      </w:r>
    </w:p>
    <w:p>
      <w:pPr>
        <w:pStyle w:val="Heading3"/>
        <w:jc w:val="both"/>
        <w:rPr/>
      </w:pPr>
      <w:r>
        <w:rPr>
          <w:b w:val="false"/>
          <w:lang w:val="bg-BG"/>
        </w:rPr>
        <w:t xml:space="preserve">Макар че </w:t>
      </w:r>
      <w:r>
        <w:rPr>
          <w:i/>
          <w:lang w:val="bg-BG"/>
        </w:rPr>
        <w:t>съотношението на възрастните хора спрямо цялото население</w:t>
      </w:r>
      <w:r>
        <w:rPr>
          <w:b w:val="false"/>
          <w:lang w:val="bg-BG"/>
        </w:rPr>
        <w:t xml:space="preserve"> в индустриалните страни е по-значително, отколкото в развиващите се страни, според годишния доклад на Световната здравна организация за 1998 г. броят на възрастните хора, изразен в абсолютни цифри,  в последните се увеличава по-бързо,отколкото в първите. Според някои данни по отношение равнището си от 1980 г. възрастното население в страните от третия свят ще се увеличи с повече от 300 на сто през 2025 г. Икономическите и социалните условия не само няма да облекчават положението на възрастните, а все повече и повече ще го влошават. Процесите на </w:t>
      </w:r>
      <w:r>
        <w:rPr>
          <w:i/>
          <w:lang w:val="bg-BG"/>
        </w:rPr>
        <w:t>урбанизация и индустриализация</w:t>
      </w:r>
      <w:r>
        <w:rPr>
          <w:b w:val="false"/>
          <w:lang w:val="bg-BG"/>
        </w:rPr>
        <w:t>, които вече са в ход в развиващите се страни, постепенно разклащат традиционните семейни структури, които вместо три, с увеличаване продължителността на живота, могат да включват четири и дори пет поколения. С други думи, активното поколение трябва да поеме издръжката не само на родителите си, а и на баба си и дядо си, а понякога и на прабаба и прадядо си. Съвсем очевидно е, че една социална семейна политика ще изисква  ефикасни допълнителни мерки от страна на държавата и на местните общности.</w:t>
      </w:r>
    </w:p>
    <w:p>
      <w:pPr>
        <w:pStyle w:val="Heading3"/>
        <w:jc w:val="both"/>
        <w:rPr/>
      </w:pPr>
      <w:r>
        <w:rPr>
          <w:b w:val="false"/>
          <w:lang w:val="bg-BG"/>
        </w:rPr>
        <w:t xml:space="preserve">Голяма част от </w:t>
      </w:r>
      <w:r>
        <w:rPr>
          <w:i/>
          <w:lang w:val="bg-BG"/>
        </w:rPr>
        <w:t>развиващите се държави</w:t>
      </w:r>
      <w:r>
        <w:rPr>
          <w:b w:val="false"/>
          <w:lang w:val="bg-BG"/>
        </w:rPr>
        <w:t xml:space="preserve"> с ниски доходи обаче не са в състояние да намерят някакъв изход от това положение. В Африка например по-належащи са проблемите на ускорения демографски прираст, много високата смъртност при новородените деца, масовото напускане на селата и пр. С ниските си заплати и несигурната си работа младите африканци трудно могат да поемат издръжката на старите си родители, а още по-малко на по-възрастните членове на семейството. В Китай положението не е по-добро. Според очакванията през близките 30 години хората над 60 години ще станат почти 275 млн. – повече от цялото сегашно население на САЩ. Понастоящем милиони възрастни китайци са без социална защита. Старата държавна система, която поемаше издръжката на всички китайци, е напълно разрушена. Все още не е изграден нов пенсионен режим, подобен на западните модели. В Индия, втората най-населена страна в света, броят на възрастните хора е по-голям от броя на всички французи. За много от тях няма нито социална сигурност, нито застраховка, нито гаранция за финансова подкрепа. Обобщено казано, нарастващият брой на много възрастните хора в развиващия се свят постепенно ще промени отношенията между поколенията. Прабабата и прадядото навярно няма да могат да разчитат  на финансова и жилищна осигуреност. На тях едва ли ще се възлага  да се занимават с децата, да приготвят храната или да пазят къщата, тъй като за тази цел  безспорно по-подходящи са “по-младите възрастни”.  Нарушеното демографско равновесие води до съществени промени в социалното равновесие между млади и стари, а от тук и до промяна в отношението  към  възрастните хора.</w:t>
      </w:r>
    </w:p>
    <w:p>
      <w:pPr>
        <w:pStyle w:val="Heading3"/>
        <w:jc w:val="both"/>
        <w:rPr/>
      </w:pPr>
      <w:r>
        <w:rPr>
          <w:i/>
          <w:lang w:val="bg-BG"/>
        </w:rPr>
        <w:t>Социалното битие на лицата от третата възраст</w:t>
      </w:r>
      <w:r>
        <w:rPr>
          <w:b w:val="false"/>
          <w:lang w:val="bg-BG"/>
        </w:rPr>
        <w:t xml:space="preserve"> придобива  и все повече ще придобива нови измерения не само за страните от третия свят, а и за </w:t>
      </w:r>
      <w:r>
        <w:rPr>
          <w:i/>
          <w:lang w:val="bg-BG"/>
        </w:rPr>
        <w:t>индустриално развитите страни</w:t>
      </w:r>
      <w:r>
        <w:rPr>
          <w:b w:val="false"/>
          <w:lang w:val="bg-BG"/>
        </w:rPr>
        <w:t>. Пред много сериозен проблем е поставена например една богата държава като  Финландия. Финландското население старее по-бързо, отколкото населението в другите държави от Европейския съюз. Значителна част от активните трудещи се в края на кариерата си (т. нар. “baby boomers” – родени между 1946 и 1954 г.) в края на кариерата си желаят предварително да излязат в пенсия, а броят на младите хора, които излизат на трудовата борса, не може да компенсира отиващите в пенсия. Съчетаването на тези два фактора поставя Финландия пред непозната досега перспектива, в случай че тези тенденции продължават: краен недостиг на работна ръка. Много финландски учени често споменават възрастовата дискриминация като една от причините за преждевременното излизане в пенсия и призовават правителството да промени отношението си към “трудещите се с посребрени коси”.</w:t>
      </w:r>
    </w:p>
    <w:p>
      <w:pPr>
        <w:pStyle w:val="Heading3"/>
        <w:jc w:val="both"/>
        <w:rPr>
          <w:b w:val="false"/>
          <w:b w:val="false"/>
          <w:lang w:val="bg-BG"/>
        </w:rPr>
      </w:pPr>
      <w:r>
        <w:rPr>
          <w:b w:val="false"/>
          <w:lang w:val="bg-BG"/>
        </w:rPr>
        <w:t xml:space="preserve">Ако увеличаването на дълголетието е световно явление, то според Перспективи за световното население на Обединените нации (1998), поне два района правят изключение.  </w:t>
      </w:r>
    </w:p>
    <w:p>
      <w:pPr>
        <w:pStyle w:val="Heading3"/>
        <w:jc w:val="both"/>
        <w:rPr>
          <w:b w:val="false"/>
          <w:b w:val="false"/>
          <w:lang w:val="bg-BG"/>
        </w:rPr>
      </w:pPr>
      <w:r>
        <w:rPr>
          <w:b w:val="false"/>
          <w:lang w:val="bg-BG"/>
        </w:rPr>
        <w:t xml:space="preserve">В Африка на юг от Сахара избухна епидемия от СПИН. Поначало най-засегнатите страни се намират в южната част на Африка: Южна Африка, Ботсуана, Малави, Мозамбик, Намибия, Замбия, Зимбабве, към които се присъединяват Кения и Руанда. Броят на заразените с вируса HIV надхвърля 10 на сто от населението. Така надеждите за продължителността на живота веднага спадат от 53,4 за 1985-1990 г. на 47,6 за 1995-2000 г. и на 47,1 години за 2010-2015 г. Без епидемията тези цифри щяха да бъдат съответно 54,2; 58 и 63,4 години. </w:t>
      </w:r>
    </w:p>
    <w:p>
      <w:pPr>
        <w:pStyle w:val="Heading3"/>
        <w:jc w:val="both"/>
        <w:rPr>
          <w:b w:val="false"/>
          <w:b w:val="false"/>
          <w:lang w:val="bg-BG"/>
        </w:rPr>
      </w:pPr>
      <w:r>
        <w:rPr>
          <w:b w:val="false"/>
          <w:lang w:val="bg-BG"/>
        </w:rPr>
        <w:t xml:space="preserve">Подобно, но в много по-малки размери явление засяга и три азиатски държави (Камбоджа, Индия и Тайланд), където поради епидемията очакванията за продължителността на живота спадат средно с 1,6 години през същия период, и две страни в Латинска Америка (Бразилия и Хаити), където тази цифра е около 1,4 години. </w:t>
      </w:r>
    </w:p>
    <w:p>
      <w:pPr>
        <w:pStyle w:val="Heading3"/>
        <w:jc w:val="both"/>
        <w:rPr/>
      </w:pPr>
      <w:r>
        <w:rPr>
          <w:b w:val="false"/>
          <w:lang w:val="bg-BG"/>
        </w:rPr>
        <w:t>В страните от бившия “източен блок”дълголетието напредва по-бавно, отколкото в останалия свят предимно по икономически  (главоломно спадане на пенсиите) и социални причини (отслабване на семейните връзки). Така очакванията за продължителността на живота за Русия от 67,6 през 1979 г. до 69,2 години през 1985 г., са спаднали на 66,5 през 1990 г. и на 64,4 години през 1995 г. Същата тенденция се наблюдава в Украйна: 70,4 години (1985) и 68,8 години (1995); в България: 71,6 години и 71,2 години (1995). Това число остава стабилно в Румъния (69,5години).</w:t>
      </w:r>
    </w:p>
    <w:p>
      <w:pPr>
        <w:pStyle w:val="Heading4"/>
        <w:rPr/>
      </w:pPr>
      <w:r>
        <w:rPr/>
        <w:t xml:space="preserve">2.2.3. За интегративния  характер на методите и подходите за изследване на третата възраст </w:t>
      </w:r>
    </w:p>
    <w:p>
      <w:pPr>
        <w:pStyle w:val="Heading3"/>
        <w:jc w:val="both"/>
        <w:rPr/>
      </w:pPr>
      <w:r>
        <w:rPr>
          <w:lang w:val="bg-BG"/>
        </w:rPr>
        <w:t>Третата възраст</w:t>
      </w:r>
      <w:r>
        <w:rPr>
          <w:b w:val="false"/>
          <w:lang w:val="bg-BG"/>
        </w:rPr>
        <w:t xml:space="preserve"> поставя пред науката и социалната практика сложни проблеми. С основание редица автори поставят въпроса “Каква социална общност са хората от тази възраст?” Поради това, че относителният дял на възрастните хора е твърде голям и продължава да нараства, някои учени са склонни да ги обособят като самостоятелна социална група. Други обаче твърдят, че е твърде рисковано   разграничението да се прави само върху възрастовия признак. По-същественият признак за определяне на принадлежността към една или друга социална група е мястото и ролята й в обществения живот, изпълняваните функции в общественото производство (материално или духовно), релацията “производство – потребление”. “Опитът на социалната практика – отбелязва Г. </w:t>
      </w:r>
      <w:r>
        <w:rPr>
          <w:lang w:val="bg-BG"/>
        </w:rPr>
        <w:t>Йолов</w:t>
      </w:r>
      <w:r>
        <w:rPr>
          <w:b w:val="false"/>
          <w:lang w:val="bg-BG"/>
        </w:rPr>
        <w:t xml:space="preserve">, - през последните десетилетия доказва, че третата възраст не се задоволява с инцидентни решения и все по-определено заема мястото си на активен социален фактор във всички сфери на обществения живот…Социалното битие на третата възраст обхваща мястото на старите хора в социално-демографската структура на обществото, старите хора в миналото, в настоящето и в бъдещето, равнището на участие в различните сфери на живот и дейност, тяхното общуване помежду си и с други възрасти, системата или системите, държавни или обществени, които са ангажирани с оказване на помощ и съдействие на хората в късните периоди от техния живот” (24,с. 39).  </w:t>
      </w:r>
    </w:p>
    <w:p>
      <w:pPr>
        <w:pStyle w:val="Heading3"/>
        <w:jc w:val="both"/>
        <w:rPr/>
      </w:pPr>
      <w:r>
        <w:rPr>
          <w:b w:val="false"/>
          <w:lang w:val="bg-BG"/>
        </w:rPr>
        <w:t>С други думи, изследването  на третата възраст по своята същност има интегративен характер. Герагогиката трябва да отчита в максимална степен постиженията на такива основни науки, като теорията за личността,  геронтологията, геронтопсихологията,  еволюционната психология,    гериатрията, социологията, демографията, социалната медицина, патологията, хигиената, икономиката и др.</w:t>
      </w:r>
    </w:p>
    <w:p>
      <w:pPr>
        <w:pStyle w:val="Heading3"/>
        <w:jc w:val="both"/>
        <w:rPr/>
      </w:pPr>
      <w:r>
        <w:rPr>
          <w:b w:val="false"/>
          <w:lang w:val="bg-BG"/>
        </w:rPr>
        <w:t xml:space="preserve">Проф. Н. </w:t>
      </w:r>
      <w:r>
        <w:rPr>
          <w:lang w:val="bg-BG"/>
        </w:rPr>
        <w:t>Александрова</w:t>
      </w:r>
      <w:r>
        <w:rPr>
          <w:b w:val="false"/>
          <w:lang w:val="bg-BG"/>
        </w:rPr>
        <w:t xml:space="preserve"> с основание твърди, че “за личността на стария човек, неговата мотивация, емоционални състояния, самооценки и съдържание на Аз-а в този период от живота на човека, засега съществува повече неизвестност, отколкото ясни теоретически анализи и концепции, а така също и практически програми” (3, с. 14).</w:t>
      </w:r>
    </w:p>
    <w:p>
      <w:pPr>
        <w:pStyle w:val="Heading3"/>
        <w:jc w:val="both"/>
        <w:rPr/>
      </w:pPr>
      <w:r>
        <w:rPr>
          <w:b w:val="false"/>
          <w:lang w:val="bg-BG"/>
        </w:rPr>
        <w:t xml:space="preserve">Централна задача на </w:t>
      </w:r>
      <w:r>
        <w:rPr>
          <w:lang w:val="bg-BG"/>
        </w:rPr>
        <w:t>геронтологията</w:t>
      </w:r>
      <w:r>
        <w:rPr>
          <w:b w:val="false"/>
          <w:lang w:val="bg-BG"/>
        </w:rPr>
        <w:t xml:space="preserve"> е да анализира механизмите на стареенето, да изучава предимно биологичните, физиологичните, биохимичните и редица други промени при стареенето, да търси  рационални пътища, забавящи протичането на този процес. </w:t>
      </w:r>
    </w:p>
    <w:p>
      <w:pPr>
        <w:pStyle w:val="Heading3"/>
        <w:jc w:val="both"/>
        <w:rPr/>
      </w:pPr>
      <w:r>
        <w:rPr>
          <w:lang w:val="bg-BG"/>
        </w:rPr>
        <w:t>Геронтологическата психология</w:t>
      </w:r>
      <w:r>
        <w:rPr>
          <w:b w:val="false"/>
          <w:lang w:val="bg-BG"/>
        </w:rPr>
        <w:t xml:space="preserve"> се занимава с измененията в психиката на възрастния човек по време на късните етапи на онтогенезата. “Психологията на старостта и стареенето в сравнение с други периоди на еволюционната психология значително по-малко е разработена. Това преди всичко е свързано с обстоятелството, че провеждането на експериментално-психологически изследвания на лицата от напредналата и старческа възраст с помощта на различни тестове е затруднено поради отсъствието на достоверни данни за възрастните норми на различни страни от психическата дейност в по-късните периоди на развитието. Необходимо е да добавим, че и употребяваните тестове и методики са разработени за изучаване на лица от по-млада възраст, и естествено не съответстват на установките, интересите и др. на хората в напреднала и старческа възраст”(3, с.8).</w:t>
      </w:r>
    </w:p>
    <w:p>
      <w:pPr>
        <w:pStyle w:val="Heading3"/>
        <w:jc w:val="both"/>
        <w:rPr/>
      </w:pPr>
      <w:r>
        <w:rPr>
          <w:lang w:val="bg-BG"/>
        </w:rPr>
        <w:t xml:space="preserve">Социологията </w:t>
      </w:r>
      <w:r>
        <w:rPr>
          <w:b w:val="false"/>
          <w:lang w:val="bg-BG"/>
        </w:rPr>
        <w:t xml:space="preserve"> (както общата, теоретичната, така и социологията на личността) изследва закономерностите, функционирането и структурата на обществото, връзката между обществото и индивидите, природата на обществото и човешката природа. Особено важен неин  проблем е този за взаимодействията и взаимоотношенията между поколенията.</w:t>
      </w:r>
    </w:p>
    <w:p>
      <w:pPr>
        <w:pStyle w:val="Heading3"/>
        <w:jc w:val="both"/>
        <w:rPr/>
      </w:pPr>
      <w:r>
        <w:rPr>
          <w:lang w:val="bg-BG"/>
        </w:rPr>
        <w:t>Гериатрията</w:t>
      </w:r>
      <w:r>
        <w:rPr>
          <w:b w:val="false"/>
          <w:lang w:val="bg-BG"/>
        </w:rPr>
        <w:t xml:space="preserve"> има за задача да представи “клиничната картина” на най-честите заболявания в напреднала и старческа възраст с оглед на тяхната терапия и профилактика. Различните заболявания са най-честа причина за преждевременното стареене, но не всички от тях имат еднакво значение за развитието на този процес.  </w:t>
      </w:r>
    </w:p>
    <w:p>
      <w:pPr>
        <w:pStyle w:val="Heading3"/>
        <w:jc w:val="both"/>
        <w:rPr/>
      </w:pPr>
      <w:r>
        <w:rPr>
          <w:lang w:val="bg-BG"/>
        </w:rPr>
        <w:t>Демографията</w:t>
      </w:r>
      <w:r>
        <w:rPr>
          <w:b w:val="false"/>
          <w:lang w:val="bg-BG"/>
        </w:rPr>
        <w:t xml:space="preserve"> изучава закономерностите при изменение на структурата на населението във възрастово-полов, професионален, образователен, религиозен и др. план.  В съвременни условия с основание се говори за т.нар. “демографски взрив”, предизвикан от “застрашаващото нарастване” на броя на лицата от третата възраст, от феномена “застаряване на населението”.Статистическите данни за състава на населението, за неговата възрастово-полова структура  и редица други показатели са от съществено значение за изработване и реализиране  на адекватна социална политика. Фактът, че възрастните хора са една значителна популация в съвременното общество, директно поставя въпроса за тяхното рационално участие в различните сфери на живот и дейност. Особено голяма актуалност придобива проблемът за взаимоотношенията между тази генерация и по-младите поколения.             </w:t>
      </w:r>
    </w:p>
    <w:p>
      <w:pPr>
        <w:pStyle w:val="Heading3"/>
        <w:jc w:val="both"/>
        <w:rPr/>
      </w:pPr>
      <w:r>
        <w:rPr>
          <w:b w:val="false"/>
          <w:lang w:val="bg-BG"/>
        </w:rPr>
        <w:t xml:space="preserve">Много важна задача на  </w:t>
      </w:r>
      <w:r>
        <w:rPr>
          <w:lang w:val="bg-BG"/>
        </w:rPr>
        <w:t>социалната медицина</w:t>
      </w:r>
      <w:r>
        <w:rPr>
          <w:b w:val="false"/>
          <w:lang w:val="bg-BG"/>
        </w:rPr>
        <w:t xml:space="preserve"> и </w:t>
      </w:r>
      <w:r>
        <w:rPr>
          <w:lang w:val="bg-BG"/>
        </w:rPr>
        <w:t>хигиената</w:t>
      </w:r>
      <w:r>
        <w:rPr>
          <w:b w:val="false"/>
          <w:lang w:val="bg-BG"/>
        </w:rPr>
        <w:t xml:space="preserve"> е изучаването на ролята и комплексното влияние на най-разнообразните фактори (външни и вътрешни, природни и социални) върху психофизиологическото здраве и дълголетието на хората от третата възраст. Както външните, така и вътрешните фактори могат да имат двупосочни проявления, т.е. да влияят положително или отрицателно върху отделния човек. При това твърде често външните и вътрешните фактори са много тясно свързани помежду си и взаимно се обуславят.</w:t>
      </w:r>
    </w:p>
    <w:p>
      <w:pPr>
        <w:pStyle w:val="Heading3"/>
        <w:jc w:val="both"/>
        <w:rPr/>
      </w:pPr>
      <w:r>
        <w:rPr>
          <w:b w:val="false"/>
          <w:lang w:val="bg-BG"/>
        </w:rPr>
        <w:t xml:space="preserve">Познанията в областта на </w:t>
      </w:r>
      <w:r>
        <w:rPr>
          <w:lang w:val="bg-BG"/>
        </w:rPr>
        <w:t xml:space="preserve">патологията </w:t>
      </w:r>
      <w:r>
        <w:rPr>
          <w:b w:val="false"/>
          <w:lang w:val="bg-BG"/>
        </w:rPr>
        <w:t xml:space="preserve">позволяват да се реагира адекватно в зависимост от заболяванията, които твърде често водят до  преждевременно стареене или смърт. Както е известно, най-значими за патологията на старческата възраст са атеросклерозата, сърдечно-съдовите заболявания, злокачествените тумори, хипертонията, диабетът, пиелонефритът и др. </w:t>
      </w:r>
    </w:p>
    <w:p>
      <w:pPr>
        <w:pStyle w:val="Heading3"/>
        <w:jc w:val="both"/>
        <w:rPr/>
      </w:pPr>
      <w:r>
        <w:rPr>
          <w:b w:val="false"/>
          <w:lang w:val="bg-BG"/>
        </w:rPr>
        <w:t xml:space="preserve">С настъпването на третата възраст на преден план се поставят и редица важни </w:t>
      </w:r>
      <w:r>
        <w:rPr>
          <w:lang w:val="bg-BG"/>
        </w:rPr>
        <w:t>социално-икономически проблеми</w:t>
      </w:r>
      <w:r>
        <w:rPr>
          <w:b w:val="false"/>
          <w:lang w:val="bg-BG"/>
        </w:rPr>
        <w:t xml:space="preserve">. Както изтъква проф. К. </w:t>
      </w:r>
      <w:r>
        <w:rPr>
          <w:lang w:val="bg-BG"/>
        </w:rPr>
        <w:t>Спасов</w:t>
      </w:r>
      <w:r>
        <w:rPr>
          <w:b w:val="false"/>
          <w:lang w:val="bg-BG"/>
        </w:rPr>
        <w:t>, (46)  понастоящем преструктурирането на икономиката и съответно на заетостта е основен, стратегически проблем на нашето развитие. В политиката на управление на пазара и заетостта на работната сила актуален проблем е</w:t>
      </w:r>
      <w:r>
        <w:rPr>
          <w:lang w:val="bg-BG"/>
        </w:rPr>
        <w:t xml:space="preserve"> </w:t>
      </w:r>
      <w:r>
        <w:rPr>
          <w:b w:val="false"/>
          <w:lang w:val="bg-BG"/>
        </w:rPr>
        <w:t>постигането на оптимално</w:t>
      </w:r>
      <w:r>
        <w:rPr>
          <w:lang w:val="bg-BG"/>
        </w:rPr>
        <w:t xml:space="preserve"> </w:t>
      </w:r>
      <w:r>
        <w:rPr>
          <w:b w:val="false"/>
          <w:lang w:val="bg-BG"/>
        </w:rPr>
        <w:t xml:space="preserve">съотношение между потенциалната и реалната работна сила. В глобален план тази политика е насочена към предприемане на мерки за увеличаване на търсенето на работна сила (активни мерки) и намаляването на предлагането на работна сила (пасивни мерки). Предлагането на работна сила може да нарасне с лицата в надтрудоспособна възраст.  Част от тях са съхранили своята работоспособност и при възможност отново започват работа. У нас се наблюдава процес на разширяване на участието на тази група от населението в отраслите и дейностите на  националното стопанство. Това е свързано както с нарастването на разглежданата група от населението (поради неговото застаряване), така и с много ниските пенсии, които не могат да осигурят едно достойно съществуване на тези хора. </w:t>
      </w:r>
    </w:p>
    <w:p>
      <w:pPr>
        <w:pStyle w:val="Heading3"/>
        <w:jc w:val="both"/>
        <w:rPr/>
      </w:pPr>
      <w:r>
        <w:rPr>
          <w:b w:val="false"/>
          <w:lang w:val="bg-BG"/>
        </w:rPr>
        <w:t xml:space="preserve">Всяка една от посочените науки използва характерните за нея методи на изследване на лицата или общностите от т.нар. трета възраст. Целите на изследванията обуславят избора на методите. Още </w:t>
      </w:r>
      <w:r>
        <w:rPr>
          <w:lang w:val="bg-BG"/>
        </w:rPr>
        <w:t xml:space="preserve">Хегел </w:t>
      </w:r>
      <w:r>
        <w:rPr>
          <w:b w:val="false"/>
          <w:lang w:val="bg-BG"/>
        </w:rPr>
        <w:t xml:space="preserve">подчертава, методите на изследване не са “външна форма”, а “душата на съдържанието”. Тяхното приложение до голяма степен зависи от стадия, на който се намира една или друга наука. За целите на </w:t>
      </w:r>
      <w:r>
        <w:rPr>
          <w:lang w:val="bg-BG"/>
        </w:rPr>
        <w:t>герагогиката</w:t>
      </w:r>
      <w:r>
        <w:rPr>
          <w:b w:val="false"/>
          <w:lang w:val="bg-BG"/>
        </w:rPr>
        <w:t xml:space="preserve">  по-пълна и цялостна характеристика на третата възраст може да се постигне като се търсят и разкриват </w:t>
      </w:r>
      <w:r>
        <w:rPr>
          <w:lang w:val="bg-BG"/>
        </w:rPr>
        <w:t>интегративните взаимовръзки</w:t>
      </w:r>
      <w:r>
        <w:rPr>
          <w:b w:val="false"/>
          <w:lang w:val="bg-BG"/>
        </w:rPr>
        <w:t xml:space="preserve"> между изследваните различни страни и аспекти на геронтогенеза. </w:t>
      </w:r>
    </w:p>
    <w:p>
      <w:pPr>
        <w:pStyle w:val="Heading3"/>
        <w:jc w:val="both"/>
        <w:rPr/>
      </w:pPr>
      <w:r>
        <w:rPr>
          <w:b w:val="false"/>
          <w:lang w:val="bg-BG"/>
        </w:rPr>
        <w:t xml:space="preserve">Един от твърде често използваните методи от науките за човекознанието е </w:t>
      </w:r>
      <w:r>
        <w:rPr>
          <w:lang w:val="bg-BG"/>
        </w:rPr>
        <w:t>наблюдението</w:t>
      </w:r>
      <w:r>
        <w:rPr>
          <w:b w:val="false"/>
          <w:lang w:val="bg-BG"/>
        </w:rPr>
        <w:t xml:space="preserve">.   То обикновено се съчетава с други методи. Много важна информация може да даде и </w:t>
      </w:r>
      <w:r>
        <w:rPr>
          <w:lang w:val="bg-BG"/>
        </w:rPr>
        <w:t>самонаблюдението (интроспекцията</w:t>
      </w:r>
      <w:r>
        <w:rPr>
          <w:b w:val="false"/>
          <w:lang w:val="bg-BG"/>
        </w:rPr>
        <w:t xml:space="preserve">), но тук е необходимо да се отчита възможността за внасяне на по-голям или по-малък субективизъм при интерпретацията от изследваното лице на едни или други явления или събития. Разновидност на самонаблюдението е </w:t>
      </w:r>
      <w:r>
        <w:rPr>
          <w:lang w:val="bg-BG"/>
        </w:rPr>
        <w:t>биографичният метод</w:t>
      </w:r>
      <w:r>
        <w:rPr>
          <w:b w:val="false"/>
          <w:lang w:val="bg-BG"/>
        </w:rPr>
        <w:t xml:space="preserve">. Широко приложение намират също </w:t>
      </w:r>
      <w:r>
        <w:rPr>
          <w:lang w:val="bg-BG"/>
        </w:rPr>
        <w:t>анкетата, беседата, интервюто</w:t>
      </w:r>
      <w:r>
        <w:rPr>
          <w:b w:val="false"/>
          <w:lang w:val="bg-BG"/>
        </w:rPr>
        <w:t xml:space="preserve">, </w:t>
      </w:r>
      <w:r>
        <w:rPr>
          <w:lang w:val="bg-BG"/>
        </w:rPr>
        <w:t>екстраполацията</w:t>
      </w:r>
      <w:r>
        <w:rPr>
          <w:b w:val="false"/>
          <w:lang w:val="bg-BG"/>
        </w:rPr>
        <w:t xml:space="preserve"> и др. Много по-надеждни резултати могат да се получат, когато се прилагат различни </w:t>
      </w:r>
      <w:r>
        <w:rPr>
          <w:lang w:val="bg-BG"/>
        </w:rPr>
        <w:t xml:space="preserve">експериментални, диагностични и социометрични методи. </w:t>
      </w:r>
      <w:r>
        <w:rPr>
          <w:b w:val="false"/>
          <w:lang w:val="bg-BG"/>
        </w:rPr>
        <w:t xml:space="preserve">С помощта на </w:t>
      </w:r>
      <w:r>
        <w:rPr>
          <w:lang w:val="bg-BG"/>
        </w:rPr>
        <w:t xml:space="preserve">стандартизирани тестове </w:t>
      </w:r>
      <w:r>
        <w:rPr>
          <w:b w:val="false"/>
          <w:lang w:val="bg-BG"/>
        </w:rPr>
        <w:t xml:space="preserve">за кратко време може да се извлече изключително ценна научна информация. </w:t>
      </w:r>
    </w:p>
    <w:p>
      <w:pPr>
        <w:pStyle w:val="Heading3"/>
        <w:jc w:val="both"/>
        <w:rPr/>
      </w:pPr>
      <w:r>
        <w:rPr>
          <w:b w:val="false"/>
          <w:lang w:val="bg-BG"/>
        </w:rPr>
        <w:t xml:space="preserve">Стремежът към интеграция на научните знания позволява да се преодолее </w:t>
      </w:r>
      <w:r>
        <w:rPr>
          <w:lang w:val="bg-BG"/>
        </w:rPr>
        <w:t>прекомерната раздробеност</w:t>
      </w:r>
      <w:r>
        <w:rPr>
          <w:b w:val="false"/>
          <w:lang w:val="bg-BG"/>
        </w:rPr>
        <w:t xml:space="preserve"> и дори </w:t>
      </w:r>
      <w:r>
        <w:rPr>
          <w:lang w:val="bg-BG"/>
        </w:rPr>
        <w:t>относителна обособеност</w:t>
      </w:r>
      <w:r>
        <w:rPr>
          <w:b w:val="false"/>
          <w:lang w:val="bg-BG"/>
        </w:rPr>
        <w:t xml:space="preserve"> на постиженията на отделните науки, изучаващи същността на геронтогенеза. Редица автори сочат голямата евристична стойност на т.нар. </w:t>
      </w:r>
      <w:r>
        <w:rPr>
          <w:lang w:val="bg-BG"/>
        </w:rPr>
        <w:t>срезов (напречен) метод</w:t>
      </w:r>
      <w:r>
        <w:rPr>
          <w:b w:val="false"/>
          <w:lang w:val="bg-BG"/>
        </w:rPr>
        <w:t xml:space="preserve"> (cross-sectional), както и на </w:t>
      </w:r>
      <w:r>
        <w:rPr>
          <w:lang w:val="bg-BG"/>
        </w:rPr>
        <w:t xml:space="preserve">лонгитюдния (лонгитюдиналния) метод </w:t>
      </w:r>
      <w:r>
        <w:rPr>
          <w:b w:val="false"/>
          <w:lang w:val="bg-BG"/>
        </w:rPr>
        <w:t>(longitudinal).</w:t>
      </w:r>
    </w:p>
    <w:p>
      <w:pPr>
        <w:pStyle w:val="Heading3"/>
        <w:jc w:val="both"/>
        <w:rPr/>
      </w:pPr>
      <w:r>
        <w:rPr>
          <w:b w:val="false"/>
          <w:lang w:val="bg-BG"/>
        </w:rPr>
        <w:t xml:space="preserve">Както изтъкват Т.В. </w:t>
      </w:r>
      <w:r>
        <w:rPr>
          <w:lang w:val="bg-BG"/>
        </w:rPr>
        <w:t>Карсаевская</w:t>
      </w:r>
      <w:r>
        <w:rPr>
          <w:b w:val="false"/>
          <w:lang w:val="bg-BG"/>
        </w:rPr>
        <w:t xml:space="preserve"> и А.Т. </w:t>
      </w:r>
      <w:r>
        <w:rPr>
          <w:lang w:val="bg-BG"/>
        </w:rPr>
        <w:t>Шаталов</w:t>
      </w:r>
      <w:r>
        <w:rPr>
          <w:b w:val="false"/>
          <w:lang w:val="bg-BG"/>
        </w:rPr>
        <w:t xml:space="preserve"> (25, с. 119 и сл.) </w:t>
      </w:r>
      <w:r>
        <w:rPr>
          <w:lang w:val="bg-BG"/>
        </w:rPr>
        <w:t>срезовият метод</w:t>
      </w:r>
      <w:r>
        <w:rPr>
          <w:b w:val="false"/>
          <w:lang w:val="bg-BG"/>
        </w:rPr>
        <w:t xml:space="preserve"> дава възможност да се сравняват във всеки даден момент съществените физически и психични функции, броят на патологичните изменения, способността за една или друга дейност на индивидите, принадлежащи към различни възрастови групи. Този метод се използва при изучаване на различни индивиди или популации от една и съща възрастова група в рамките на възрастовата кохорта. При изучаване на специфичните възрастови изменения на човека срезовият метод позволява да се установят рамките на нормите на отделните функции, да се определи равнището и състоянието на отделните функции с цел тяхното по-нататъшно сравнение. Обаче при този метод се срещат и редица трудности. Например при сравняване на психосоматичните показатели на еднакви по пол извадки от лица, спадащи към различни възрастови кохорти, установените различия в показателите ще бъдат обусловени не само от възрастта, а и от много други фактори – начина на живот, характера на труда, храненето и пр. Отдиференцирането на влиянието на цялата съвкупност от социално-културните фактори в рамките на този метод е невъзможно.</w:t>
      </w:r>
    </w:p>
    <w:p>
      <w:pPr>
        <w:pStyle w:val="Heading3"/>
        <w:jc w:val="both"/>
        <w:rPr/>
      </w:pPr>
      <w:r>
        <w:rPr>
          <w:lang w:val="bg-BG"/>
        </w:rPr>
        <w:t>Лонгитюдният метод</w:t>
      </w:r>
      <w:r>
        <w:rPr>
          <w:b w:val="false"/>
          <w:lang w:val="bg-BG"/>
        </w:rPr>
        <w:t xml:space="preserve"> позволява регулярно и многократно да се изследва една и съща група лица, да се разкрият закономерности и факти, недостъпни за установяване с помощта на други методи, индивидуалните тенденции в хода на стареенето. В сравнение със срезовия този метод  има редица предимства, тъй като открива възможности за изследване на едно и също лице на различни етапи от негтовия живот, за приложение на факторен и корелационен анализ при опознаване на индивидуално-типичните прояви на стареенето. Неговите евристични възможности се състоят в това, че той позволява да се разкриват генетичните връзки между различните фази на живота, точно да се определи съотносителната роля на факторите, обуславящи хода на развитието, да се прогнозират по-нататъшните тенденции в еволюцията на едни или други признаци и функции. </w:t>
      </w:r>
    </w:p>
    <w:p>
      <w:pPr>
        <w:pStyle w:val="Heading3"/>
        <w:jc w:val="both"/>
        <w:rPr/>
      </w:pPr>
      <w:r>
        <w:rPr>
          <w:b w:val="false"/>
          <w:lang w:val="bg-BG"/>
        </w:rPr>
        <w:t xml:space="preserve">Резултатите, получени чрез срезовия и лонгитюдния метод не винаги съвпадат. В случай на съвпадение по-чувствителен е лонгитюдният метод, но и той не е лишен от недостатъци. Така например един от тях е, че продължителността на наблюдението над възрастовите изменения е ограничена в рамките на продължителността на живота на самите изследователи. За последователното изучаване на възрастовата динамика на една кохорта от началото до края е необходимо да участват поне две поколения учени. И.Х. </w:t>
      </w:r>
      <w:r>
        <w:rPr>
          <w:lang w:val="bg-BG"/>
        </w:rPr>
        <w:t>Петров</w:t>
      </w:r>
      <w:r>
        <w:rPr>
          <w:b w:val="false"/>
          <w:lang w:val="bg-BG"/>
        </w:rPr>
        <w:t xml:space="preserve"> (36, с. 10 и сл.) също обръща внимание на обстоятелството, че при лонгитюдните методи възрастовите изменения не винаги могат да се разграничат от други, настъпващи във времето промени, като: </w:t>
      </w:r>
    </w:p>
    <w:p>
      <w:pPr>
        <w:pStyle w:val="Heading3"/>
        <w:numPr>
          <w:ilvl w:val="0"/>
          <w:numId w:val="57"/>
        </w:numPr>
        <w:jc w:val="both"/>
        <w:rPr>
          <w:b w:val="false"/>
          <w:b w:val="false"/>
          <w:lang w:val="bg-BG"/>
        </w:rPr>
      </w:pPr>
      <w:r>
        <w:rPr>
          <w:b w:val="false"/>
          <w:lang w:val="bg-BG"/>
        </w:rPr>
        <w:t>различно в сравнение с първоначалното изследване субективно състояние на изследването лице (мотивация, интерес, здравно състояние, умора, лични проблеми)</w:t>
      </w:r>
    </w:p>
    <w:p>
      <w:pPr>
        <w:pStyle w:val="Heading3"/>
        <w:numPr>
          <w:ilvl w:val="0"/>
          <w:numId w:val="57"/>
        </w:numPr>
        <w:jc w:val="both"/>
        <w:rPr>
          <w:b w:val="false"/>
          <w:b w:val="false"/>
          <w:lang w:val="bg-BG"/>
        </w:rPr>
      </w:pPr>
      <w:r>
        <w:rPr>
          <w:b w:val="false"/>
          <w:lang w:val="bg-BG"/>
        </w:rPr>
        <w:t>придобит опит по отношение на тестовото изследване;</w:t>
      </w:r>
    </w:p>
    <w:p>
      <w:pPr>
        <w:pStyle w:val="Heading3"/>
        <w:numPr>
          <w:ilvl w:val="0"/>
          <w:numId w:val="57"/>
        </w:numPr>
        <w:jc w:val="both"/>
        <w:rPr>
          <w:b w:val="false"/>
          <w:b w:val="false"/>
          <w:lang w:val="bg-BG"/>
        </w:rPr>
      </w:pPr>
      <w:r>
        <w:rPr>
          <w:b w:val="false"/>
          <w:lang w:val="bg-BG"/>
        </w:rPr>
        <w:t>евентуална промяна в опитната обстановка;</w:t>
      </w:r>
    </w:p>
    <w:p>
      <w:pPr>
        <w:pStyle w:val="Heading3"/>
        <w:numPr>
          <w:ilvl w:val="0"/>
          <w:numId w:val="57"/>
        </w:numPr>
        <w:jc w:val="both"/>
        <w:rPr>
          <w:b w:val="false"/>
          <w:b w:val="false"/>
          <w:lang w:val="bg-BG"/>
        </w:rPr>
      </w:pPr>
      <w:r>
        <w:rPr>
          <w:b w:val="false"/>
          <w:lang w:val="bg-BG"/>
        </w:rPr>
        <w:t>промяна в самия експериментатор, в неговите разбирания и подход или дори замяна на един експериментатор с друг;</w:t>
      </w:r>
    </w:p>
    <w:p>
      <w:pPr>
        <w:pStyle w:val="Heading3"/>
        <w:numPr>
          <w:ilvl w:val="0"/>
          <w:numId w:val="57"/>
        </w:numPr>
        <w:jc w:val="both"/>
        <w:rPr>
          <w:b w:val="false"/>
          <w:b w:val="false"/>
          <w:lang w:val="bg-BG"/>
        </w:rPr>
      </w:pPr>
      <w:r>
        <w:rPr>
          <w:b w:val="false"/>
          <w:lang w:val="bg-BG"/>
        </w:rPr>
        <w:t>в интервала между двете  изследвания може да настъпи промяна в социалната среда, в трудовата заетост, в материалното и семейното положение на лицето и пр.</w:t>
      </w:r>
    </w:p>
    <w:p>
      <w:pPr>
        <w:pStyle w:val="Heading3"/>
        <w:jc w:val="both"/>
        <w:rPr/>
      </w:pPr>
      <w:r>
        <w:rPr>
          <w:b w:val="false"/>
          <w:lang w:val="bg-BG"/>
        </w:rPr>
        <w:t xml:space="preserve">За минимизиране на някои от недостатъците на срезовия и лонгитюдния метод може да допринесе тяхното съчетание, т.е. използването на т.нар. </w:t>
      </w:r>
      <w:r>
        <w:rPr>
          <w:lang w:val="bg-BG"/>
        </w:rPr>
        <w:t>пресичащ метод</w:t>
      </w:r>
      <w:r>
        <w:rPr>
          <w:b w:val="false"/>
          <w:lang w:val="bg-BG"/>
        </w:rPr>
        <w:t xml:space="preserve">. Този метод прилагат К. W. </w:t>
      </w:r>
      <w:r>
        <w:rPr>
          <w:lang w:val="bg-BG"/>
        </w:rPr>
        <w:t>Schaie</w:t>
      </w:r>
      <w:r>
        <w:rPr>
          <w:b w:val="false"/>
          <w:lang w:val="bg-BG"/>
        </w:rPr>
        <w:t xml:space="preserve"> (80), P.B. </w:t>
      </w:r>
      <w:r>
        <w:rPr>
          <w:lang w:val="bg-BG"/>
        </w:rPr>
        <w:t>Baltes</w:t>
      </w:r>
      <w:r>
        <w:rPr>
          <w:b w:val="false"/>
          <w:lang w:val="bg-BG"/>
        </w:rPr>
        <w:t xml:space="preserve"> (64) и др. Моделът на </w:t>
      </w:r>
      <w:r>
        <w:rPr>
          <w:lang w:val="bg-BG"/>
        </w:rPr>
        <w:t>Шайе</w:t>
      </w:r>
      <w:r>
        <w:rPr>
          <w:b w:val="false"/>
          <w:lang w:val="bg-BG"/>
        </w:rPr>
        <w:t xml:space="preserve"> се реализира в три етапа:  </w:t>
      </w:r>
    </w:p>
    <w:p>
      <w:pPr>
        <w:pStyle w:val="Heading3"/>
        <w:numPr>
          <w:ilvl w:val="0"/>
          <w:numId w:val="60"/>
        </w:numPr>
        <w:jc w:val="both"/>
        <w:rPr>
          <w:b w:val="false"/>
          <w:b w:val="false"/>
          <w:lang w:val="bg-BG"/>
        </w:rPr>
      </w:pPr>
      <w:r>
        <w:rPr>
          <w:b w:val="false"/>
          <w:lang w:val="bg-BG"/>
        </w:rPr>
        <w:t xml:space="preserve">лонгитюдно проследяване на едни и същи лица; </w:t>
      </w:r>
    </w:p>
    <w:p>
      <w:pPr>
        <w:pStyle w:val="Heading3"/>
        <w:numPr>
          <w:ilvl w:val="0"/>
          <w:numId w:val="60"/>
        </w:numPr>
        <w:jc w:val="both"/>
        <w:rPr>
          <w:b w:val="false"/>
          <w:b w:val="false"/>
          <w:lang w:val="bg-BG"/>
        </w:rPr>
      </w:pPr>
      <w:r>
        <w:rPr>
          <w:b w:val="false"/>
          <w:lang w:val="bg-BG"/>
        </w:rPr>
        <w:t>напречно проучване;</w:t>
      </w:r>
    </w:p>
    <w:p>
      <w:pPr>
        <w:pStyle w:val="Heading3"/>
        <w:numPr>
          <w:ilvl w:val="0"/>
          <w:numId w:val="60"/>
        </w:numPr>
        <w:jc w:val="both"/>
        <w:rPr>
          <w:b w:val="false"/>
          <w:b w:val="false"/>
          <w:lang w:val="bg-BG"/>
        </w:rPr>
      </w:pPr>
      <w:r>
        <w:rPr>
          <w:b w:val="false"/>
          <w:lang w:val="bg-BG"/>
        </w:rPr>
        <w:t>изследване в различно време на лица в една и съща възраст (към момента на проучването), но от различни поколения. При идентична възраст на третия етап се смесват факторите кохорта и време.</w:t>
      </w:r>
    </w:p>
    <w:p>
      <w:pPr>
        <w:pStyle w:val="Heading3"/>
        <w:jc w:val="both"/>
        <w:rPr/>
      </w:pPr>
      <w:r>
        <w:rPr>
          <w:b w:val="false"/>
          <w:lang w:val="bg-BG"/>
        </w:rPr>
        <w:t xml:space="preserve">Моделът на </w:t>
      </w:r>
      <w:r>
        <w:rPr>
          <w:lang w:val="bg-BG"/>
        </w:rPr>
        <w:t>Шайе</w:t>
      </w:r>
      <w:r>
        <w:rPr>
          <w:b w:val="false"/>
          <w:lang w:val="bg-BG"/>
        </w:rPr>
        <w:t xml:space="preserve"> позволява при статистическата обработка да бъде оценена относителната стойност на възрастовите различия и същевременно на главните наслагващи се към тях фактори: социално-културните влияния и времето, през което се извършва изследването.</w:t>
      </w:r>
    </w:p>
    <w:p>
      <w:pPr>
        <w:pStyle w:val="Heading3"/>
        <w:jc w:val="both"/>
        <w:rPr/>
      </w:pPr>
      <w:r>
        <w:rPr>
          <w:b w:val="false"/>
          <w:lang w:val="bg-BG"/>
        </w:rPr>
        <w:t xml:space="preserve">От своя страна биофакторният модел на П. </w:t>
      </w:r>
      <w:r>
        <w:rPr>
          <w:lang w:val="bg-BG"/>
        </w:rPr>
        <w:t>Балтес</w:t>
      </w:r>
      <w:r>
        <w:rPr>
          <w:b w:val="false"/>
          <w:lang w:val="bg-BG"/>
        </w:rPr>
        <w:t xml:space="preserve"> се основава на два основни компонента: възрастта и кохортата и техните отношения към лонгитюдния, срезовия и сравнителния метод.</w:t>
      </w:r>
    </w:p>
    <w:p>
      <w:pPr>
        <w:pStyle w:val="Heading3"/>
        <w:jc w:val="both"/>
        <w:rPr/>
      </w:pPr>
      <w:r>
        <w:rPr>
          <w:b w:val="false"/>
          <w:lang w:val="bg-BG"/>
        </w:rPr>
        <w:t xml:space="preserve">За задълбочаване на синтезното познание на закономерностите на геронтогенеза, за  постигане на  по-пълна и по-цялостна характеристика на третата възраст голямо значение има широкото приложение на </w:t>
      </w:r>
      <w:r>
        <w:rPr>
          <w:lang w:val="bg-BG"/>
        </w:rPr>
        <w:t>комплексно-интегративния подход</w:t>
      </w:r>
      <w:r>
        <w:rPr>
          <w:b w:val="false"/>
          <w:lang w:val="bg-BG"/>
        </w:rPr>
        <w:t xml:space="preserve">.  По своята същност този подход обединява теоретичните, емпиричните  (визуалните), комуникативните  и експерименталните изследователски методи. </w:t>
      </w:r>
    </w:p>
    <w:p>
      <w:pPr>
        <w:pStyle w:val="Heading1"/>
        <w:rPr/>
      </w:pPr>
      <w:bookmarkStart w:id="8" w:name="__RefHeading___Toc89859669"/>
      <w:r>
        <w:rPr/>
        <w:t>ТРЕТА ТЕМА</w:t>
      </w:r>
      <w:r>
        <w:rPr>
          <w:lang w:val="en-US"/>
        </w:rPr>
        <w:br/>
      </w:r>
      <w:r>
        <w:rPr/>
        <w:t>ГЕРОНТОЛОГИЧНИ ОСНОВИ НА ГЕРАГОГИКАТА</w:t>
      </w:r>
      <w:bookmarkEnd w:id="8"/>
      <w:r>
        <w:rPr/>
        <w:t xml:space="preserve"> </w:t>
      </w:r>
    </w:p>
    <w:p>
      <w:pPr>
        <w:pStyle w:val="Heading2"/>
        <w:rPr/>
      </w:pPr>
      <w:bookmarkStart w:id="9" w:name="__RefHeading___Toc89859670"/>
      <w:bookmarkEnd w:id="9"/>
      <w:r>
        <w:rPr/>
        <w:t>3.1. Геронтологията в системата на научното познание.</w:t>
      </w:r>
    </w:p>
    <w:p>
      <w:pPr>
        <w:pStyle w:val="Heading3"/>
        <w:jc w:val="both"/>
        <w:rPr/>
      </w:pPr>
      <w:r>
        <w:rPr>
          <w:b w:val="false"/>
          <w:lang w:val="bg-BG"/>
        </w:rPr>
        <w:t xml:space="preserve">Науката, която изучава старостта и механизмите на стареене се нарича  </w:t>
      </w:r>
      <w:r>
        <w:rPr>
          <w:i/>
          <w:lang w:val="bg-BG"/>
        </w:rPr>
        <w:t>геронтология</w:t>
      </w:r>
      <w:r>
        <w:rPr>
          <w:b w:val="false"/>
          <w:lang w:val="bg-BG"/>
        </w:rPr>
        <w:t xml:space="preserve"> ( от гръцките думи </w:t>
      </w:r>
      <w:r>
        <w:rPr>
          <w:i/>
          <w:lang w:val="bg-BG"/>
        </w:rPr>
        <w:t>gerontos</w:t>
      </w:r>
      <w:r>
        <w:rPr>
          <w:b w:val="false"/>
          <w:i/>
          <w:lang w:val="bg-BG"/>
        </w:rPr>
        <w:t xml:space="preserve"> </w:t>
      </w:r>
      <w:r>
        <w:rPr>
          <w:b w:val="false"/>
          <w:lang w:val="bg-BG"/>
        </w:rPr>
        <w:t xml:space="preserve">– стар гражданин, а в по-широк смисъл - старец и     </w:t>
      </w:r>
      <w:r>
        <w:rPr>
          <w:i/>
          <w:lang w:val="bg-BG"/>
        </w:rPr>
        <w:t>logos</w:t>
      </w:r>
      <w:r>
        <w:rPr>
          <w:lang w:val="bg-BG"/>
        </w:rPr>
        <w:t xml:space="preserve"> </w:t>
      </w:r>
      <w:r>
        <w:rPr>
          <w:b w:val="false"/>
          <w:lang w:val="bg-BG"/>
        </w:rPr>
        <w:t xml:space="preserve">– наука) ). Нейното развитие започва още от древността. Първи опити за изясняване на процесите на стареенето се срещат още в трудовете на </w:t>
      </w:r>
      <w:r>
        <w:rPr>
          <w:lang w:val="bg-BG"/>
        </w:rPr>
        <w:t>Хипократ, Аристотел, Сенека, Гален</w:t>
      </w:r>
      <w:r>
        <w:rPr>
          <w:b w:val="false"/>
          <w:lang w:val="bg-BG"/>
        </w:rPr>
        <w:t xml:space="preserve"> и </w:t>
      </w:r>
      <w:r>
        <w:rPr>
          <w:lang w:val="bg-BG"/>
        </w:rPr>
        <w:t>Авицена</w:t>
      </w:r>
      <w:r>
        <w:rPr>
          <w:b w:val="false"/>
          <w:lang w:val="bg-BG"/>
        </w:rPr>
        <w:t xml:space="preserve">. Макар че много от техните схващания от съвременно гледище звучат твърде елементарно, като цяло тези учени допринасят за постепенното изясняване на “тайните” на стареенето. Както е известно, в продължение на твърде дълъг период от време проблемът за продължителността на живота и особено този за постигане на “безсмъртие” е разглеждан мистично и догматично. Мнозина небедени учени, скитащи фокусници, алхимици и знахари са рекламирани и продавали спекулативно “камъни на безсмъртието”, “жизнени елексири” и други подобни средства с “подмладяваща цел”.  </w:t>
      </w:r>
    </w:p>
    <w:p>
      <w:pPr>
        <w:pStyle w:val="Heading3"/>
        <w:jc w:val="both"/>
        <w:rPr/>
      </w:pPr>
      <w:r>
        <w:rPr>
          <w:b w:val="false"/>
          <w:lang w:val="bg-BG"/>
        </w:rPr>
        <w:t xml:space="preserve">В течение на продължителен период от време геронтологията се развива в рамките на биологията и на медицинското познание. Това дава отражение както върху дефинирането на нейния предмет, така и върху формулирането на основните й задачи. Така например в “Большая медицинская энциклопедия” (8) се дава следното определение: “Геронтологията е раздел от биологията, изучаващ явленията на стареенето на всички живи организми, в това число и на човека”. И. В. </w:t>
      </w:r>
      <w:r>
        <w:rPr>
          <w:lang w:val="bg-BG"/>
        </w:rPr>
        <w:t>Давидовски</w:t>
      </w:r>
      <w:r>
        <w:rPr>
          <w:b w:val="false"/>
          <w:lang w:val="bg-BG"/>
        </w:rPr>
        <w:t xml:space="preserve"> (18, с. 15) също разглежда геронтологията като наука, която изучава предимно биологическите страни на възрастовата динамика от момента на оплождането. Според K. </w:t>
      </w:r>
      <w:r>
        <w:rPr>
          <w:lang w:val="bg-BG"/>
        </w:rPr>
        <w:t xml:space="preserve">Winter </w:t>
      </w:r>
      <w:r>
        <w:rPr>
          <w:b w:val="false"/>
          <w:lang w:val="bg-BG"/>
        </w:rPr>
        <w:t xml:space="preserve">(83, с. 114) геронтологията се занимава с морфологичните и функционални изменения, които организмът претърпява в течение на целия свой живот. </w:t>
      </w:r>
    </w:p>
    <w:p>
      <w:pPr>
        <w:pStyle w:val="Heading3"/>
        <w:jc w:val="both"/>
        <w:rPr>
          <w:b w:val="false"/>
          <w:b w:val="false"/>
          <w:lang w:val="bg-BG"/>
        </w:rPr>
      </w:pPr>
      <w:r>
        <w:rPr>
          <w:b w:val="false"/>
          <w:lang w:val="bg-BG"/>
        </w:rPr>
        <w:t xml:space="preserve">От медико-биологично гледище основните задачи на геронтологията се свеждат до: </w:t>
      </w:r>
    </w:p>
    <w:p>
      <w:pPr>
        <w:pStyle w:val="Heading3"/>
        <w:numPr>
          <w:ilvl w:val="0"/>
          <w:numId w:val="76"/>
        </w:numPr>
        <w:jc w:val="both"/>
        <w:rPr>
          <w:b w:val="false"/>
          <w:b w:val="false"/>
          <w:lang w:val="bg-BG"/>
        </w:rPr>
      </w:pPr>
      <w:r>
        <w:rPr>
          <w:b w:val="false"/>
          <w:lang w:val="bg-BG"/>
        </w:rPr>
        <w:t>изучаване на механизмите и особеностите на естественото (физиологичното) стареене;</w:t>
      </w:r>
    </w:p>
    <w:p>
      <w:pPr>
        <w:pStyle w:val="Heading3"/>
        <w:numPr>
          <w:ilvl w:val="0"/>
          <w:numId w:val="76"/>
        </w:numPr>
        <w:jc w:val="both"/>
        <w:rPr>
          <w:b w:val="false"/>
          <w:b w:val="false"/>
          <w:lang w:val="bg-BG"/>
        </w:rPr>
      </w:pPr>
      <w:r>
        <w:rPr>
          <w:b w:val="false"/>
          <w:lang w:val="bg-BG"/>
        </w:rPr>
        <w:t>изучаване на основните причини и фактори за постигане на дълголетие;</w:t>
      </w:r>
    </w:p>
    <w:p>
      <w:pPr>
        <w:pStyle w:val="Heading3"/>
        <w:numPr>
          <w:ilvl w:val="0"/>
          <w:numId w:val="76"/>
        </w:numPr>
        <w:jc w:val="both"/>
        <w:rPr/>
      </w:pPr>
      <w:r>
        <w:rPr>
          <w:b w:val="false"/>
          <w:lang w:val="bg-BG"/>
        </w:rPr>
        <w:t>разработване на  мерки, насочени към предпазване от преждевременно стареене</w:t>
      </w:r>
      <w:r>
        <w:rPr>
          <w:lang w:val="bg-BG"/>
        </w:rPr>
        <w:t>;</w:t>
      </w:r>
    </w:p>
    <w:p>
      <w:pPr>
        <w:pStyle w:val="Heading3"/>
        <w:numPr>
          <w:ilvl w:val="0"/>
          <w:numId w:val="76"/>
        </w:numPr>
        <w:jc w:val="both"/>
        <w:rPr>
          <w:lang w:val="bg-BG"/>
        </w:rPr>
      </w:pPr>
      <w:r>
        <w:rPr>
          <w:b w:val="false"/>
          <w:lang w:val="bg-BG"/>
        </w:rPr>
        <w:t xml:space="preserve">разработване на средства и методи за лечение на преждевременното стареене, както и за предотвратяване на причините за старческите заболявания; и пр. </w:t>
      </w:r>
    </w:p>
    <w:p>
      <w:pPr>
        <w:pStyle w:val="Heading3"/>
        <w:jc w:val="both"/>
        <w:rPr/>
      </w:pPr>
      <w:r>
        <w:rPr>
          <w:b w:val="false"/>
          <w:lang w:val="bg-BG"/>
        </w:rPr>
        <w:t xml:space="preserve">Със засилване на процесите на диференциацията и интеграцията на научното познание проблематиката на геронтологията постепенно се разширява и обогатява и излиза извън тесните рамки на биологията и медицината. Геронтологичните изследвания от молекулярно-клетъчно равнище се издигат на равнището на демографията и социологията при решаване на проблемите на стареенето при хората. Наред с биологичната геронтология (физиология и патология на стареенето) се развиват социалната геронтология, медико-приложната (гериатрия), геронтопсихологията и др. “Съставни части на геронтологията са: </w:t>
      </w:r>
      <w:r>
        <w:rPr>
          <w:i/>
          <w:lang w:val="bg-BG"/>
        </w:rPr>
        <w:t>гериатрията</w:t>
      </w:r>
      <w:r>
        <w:rPr>
          <w:lang w:val="bg-BG"/>
        </w:rPr>
        <w:t xml:space="preserve"> </w:t>
      </w:r>
      <w:r>
        <w:rPr>
          <w:b w:val="false"/>
          <w:lang w:val="bg-BG"/>
        </w:rPr>
        <w:t>– учението за</w:t>
      </w:r>
      <w:r>
        <w:rPr>
          <w:lang w:val="bg-BG"/>
        </w:rPr>
        <w:t xml:space="preserve"> </w:t>
      </w:r>
      <w:r>
        <w:rPr>
          <w:b w:val="false"/>
          <w:lang w:val="bg-BG"/>
        </w:rPr>
        <w:t>особеностите на болестите на старческия организъм</w:t>
      </w:r>
      <w:r>
        <w:rPr>
          <w:lang w:val="bg-BG"/>
        </w:rPr>
        <w:t xml:space="preserve">, </w:t>
      </w:r>
      <w:r>
        <w:rPr>
          <w:i/>
          <w:lang w:val="bg-BG"/>
        </w:rPr>
        <w:t>герохигиената</w:t>
      </w:r>
      <w:r>
        <w:rPr>
          <w:lang w:val="bg-BG"/>
        </w:rPr>
        <w:t xml:space="preserve"> – </w:t>
      </w:r>
      <w:r>
        <w:rPr>
          <w:b w:val="false"/>
          <w:lang w:val="bg-BG"/>
        </w:rPr>
        <w:t>учението за хигиената на хората от по-късните възрастови групи и</w:t>
      </w:r>
      <w:r>
        <w:rPr>
          <w:lang w:val="bg-BG"/>
        </w:rPr>
        <w:t xml:space="preserve"> </w:t>
      </w:r>
      <w:r>
        <w:rPr>
          <w:i/>
          <w:lang w:val="bg-BG"/>
        </w:rPr>
        <w:t>геронтопсихологията</w:t>
      </w:r>
      <w:r>
        <w:rPr>
          <w:lang w:val="bg-BG"/>
        </w:rPr>
        <w:t xml:space="preserve"> (</w:t>
      </w:r>
      <w:r>
        <w:rPr>
          <w:b w:val="false"/>
          <w:lang w:val="bg-BG"/>
        </w:rPr>
        <w:t>9</w:t>
      </w:r>
      <w:r>
        <w:rPr>
          <w:lang w:val="bg-BG"/>
        </w:rPr>
        <w:t>).</w:t>
      </w:r>
    </w:p>
    <w:p>
      <w:pPr>
        <w:pStyle w:val="Heading3"/>
        <w:jc w:val="both"/>
        <w:rPr/>
      </w:pPr>
      <w:r>
        <w:rPr>
          <w:b w:val="false"/>
          <w:lang w:val="bg-BG"/>
        </w:rPr>
        <w:t xml:space="preserve">Особено големи успехи геронтологията постигна през изминалия ХХ век. “Съвременната геронтология – науката, изучаваща, както гласи едно от нейните определения, процесите на стареенето от биологически позиции, физическите и духовните особености на старите организми и социалната значимост на старите хора, обективно придобива все по-голямо значение както вследствие на увеличаване на контингента на възрастното население, за когото нейните постижения имат жизнено значим смисъл, така и вследствие на това, че у човека нараства интересът към самопознание,  към установяване на закономерностите на своето онтогенетично развитие, към най-сложния, завършващ период, на което тази наука е насочена” (25, с. 3). Наистина, Т.В. </w:t>
      </w:r>
      <w:r>
        <w:rPr>
          <w:lang w:val="bg-BG"/>
        </w:rPr>
        <w:t>Карсаевская</w:t>
      </w:r>
      <w:r>
        <w:rPr>
          <w:b w:val="false"/>
          <w:lang w:val="bg-BG"/>
        </w:rPr>
        <w:t xml:space="preserve"> и А.Т. </w:t>
      </w:r>
      <w:r>
        <w:rPr>
          <w:lang w:val="bg-BG"/>
        </w:rPr>
        <w:t xml:space="preserve">Шаталов </w:t>
      </w:r>
      <w:r>
        <w:rPr>
          <w:b w:val="false"/>
          <w:lang w:val="bg-BG"/>
        </w:rPr>
        <w:t xml:space="preserve"> отбелязват, че в най-общ вид геронтологията е наука за стареенето на живите организми, в това число и на човека. Според тях по-точното наименование на науката за старостта и стареенето на човека е антропогеронтология (или геронтология на човека), а защо не и гератология, но названието “геронтология” се е трайно утвърдило в науката, придобило е гражданственост. “Приложението на методите на популационно-видовия подход, на биоценологичното  и екологичното изследване позволява да се преодолее исторически установилата се организмоцентрична традиция в изследване на феномена стареене, а приложението на идеите на синтетичната еволюционна теория в съвременната геронтология разкрива мощните пластове на филогенетичните детерминанти на геронтогенеза, преодолява метафизичната представа за стареенето само като стараене на клетките, тъканите, органите и цялостния организъм… Една от съществените особености на развитието на съвременната геронтология е … нейната насоченост към изследване на социалните причини за стареенето. Това обстоятелство заставя в предмета на геронтологията да се откроят онези социални детерминанти, които определят стареенето като медико-социален, социално-психологически, културологически и демографски феномен” (25, с. 63-64).</w:t>
      </w:r>
    </w:p>
    <w:p>
      <w:pPr>
        <w:pStyle w:val="Heading3"/>
        <w:jc w:val="both"/>
        <w:rPr>
          <w:b w:val="false"/>
          <w:b w:val="false"/>
          <w:lang w:val="bg-BG"/>
        </w:rPr>
      </w:pPr>
      <w:r>
        <w:rPr>
          <w:b w:val="false"/>
          <w:lang w:val="bg-BG"/>
        </w:rPr>
        <w:t>“</w:t>
      </w:r>
      <w:r>
        <w:rPr>
          <w:b w:val="false"/>
          <w:lang w:val="bg-BG"/>
        </w:rPr>
        <w:t xml:space="preserve">Повишаването на интереса към проблемите на стареенето и старостта до голяма степен е свързано с характерното  за съвременния етап на човешката история значително увеличаване продължителността на живота на населението в икономически развитите страни, благодарение на социалния и научно-техническия прогрес. Увеличаването на числеността и на относителния дял на старите хора във възрастовата структура на населението на индустриално развитите страни се означава като “демографско стареене” или “стареене на населението” (25, с. 3-4). (По скалата на ООН  демографски стари са онези страни, в които относителният дял на лицата на 65 и повече години е 7 % и повече). </w:t>
      </w:r>
    </w:p>
    <w:p>
      <w:pPr>
        <w:pStyle w:val="Heading3"/>
        <w:jc w:val="both"/>
        <w:rPr>
          <w:b w:val="false"/>
          <w:b w:val="false"/>
          <w:lang w:val="bg-BG"/>
        </w:rPr>
      </w:pPr>
      <w:r>
        <w:rPr>
          <w:b w:val="false"/>
          <w:lang w:val="bg-BG"/>
        </w:rPr>
        <w:t xml:space="preserve">В условията на новата демографска ситуация възникват редица сложни проблеми по отношение на дейността на различните поколения, на взаимоотношенията им в процеса на общественото развитие. В съвременните условия изучаването на процесите на стареене от второстепенен се превърна в централен проблем на човекознанието. “Разширяването на зоната на изследване на феномена стареене от молекулярните основи на този процес до неговите социално-демографски проявления на социално-групово равнище и на равнището на цели държави, изисквайки качествено нови подходи, издига пред изследователите редица методологически въпроси” (25, с. 7). </w:t>
      </w:r>
    </w:p>
    <w:p>
      <w:pPr>
        <w:pStyle w:val="Heading3"/>
        <w:jc w:val="both"/>
        <w:rPr/>
      </w:pPr>
      <w:r>
        <w:rPr>
          <w:b w:val="false"/>
          <w:lang w:val="bg-BG"/>
        </w:rPr>
        <w:t xml:space="preserve">Както изтъкват Т.В. </w:t>
      </w:r>
      <w:r>
        <w:rPr>
          <w:lang w:val="bg-BG"/>
        </w:rPr>
        <w:t xml:space="preserve">Карсаевская </w:t>
      </w:r>
      <w:r>
        <w:rPr>
          <w:b w:val="false"/>
          <w:lang w:val="bg-BG"/>
        </w:rPr>
        <w:t xml:space="preserve">и А.Т. </w:t>
      </w:r>
      <w:r>
        <w:rPr>
          <w:lang w:val="bg-BG"/>
        </w:rPr>
        <w:t>Шаталов,</w:t>
      </w:r>
      <w:r>
        <w:rPr>
          <w:b w:val="false"/>
          <w:lang w:val="bg-BG"/>
        </w:rPr>
        <w:t xml:space="preserve"> методологическите проблеми на специалните науки са онези погранични области, в които взаимно се пресичат философските и общотеоретическите интереси на конкретната научна област на знанието, където най-релефно се откроява диалектическата взаимовръзка между всеобщото с частното и особеното. Разработването на философските проблеми на частните науки благоприятства за разкриване на спецификата на взаимодействието между всеобщото и особеното. Изучаването  на същността на един или друг процес или явление е невъзможно без познаването на качествената разлика на разглеждания феномен от другите. Ето защо разкриването на природата на такива фундаментални естественонаучни проблеми, като живота, индивидуалното и историческото развитие на всяко живо същество, стареенето, не може да се ограничи само в рамките на една наука, например биология или геронтология. То изисква по-широк, философски анализ. Без такъв анализ е немислимо  разрешаването на стратегическите задачи на утрешния ден – възможното влияние на видовата продължителност на живота, осъществяването на обратимост на редица биопсихически процеси, която би позволила на стареещия организъм да се възстановява и подмладява, изнамирането на пътища за оптимизация и управление на онтогенетичното развитие на човека.  Използването на радикални средства за въздействие върху хода на човешкия живот и външната среда поставя на преден план редица сложни етични проблеми. Разширяването на кръга на методологическите и социологическите проблеми в съвременната геронтология е в пълно съответствие със засилената антропологизация и хуманизация на научното познание като цяло. </w:t>
      </w:r>
    </w:p>
    <w:p>
      <w:pPr>
        <w:pStyle w:val="Heading3"/>
        <w:jc w:val="both"/>
        <w:rPr/>
      </w:pPr>
      <w:r>
        <w:rPr>
          <w:b w:val="false"/>
          <w:lang w:val="bg-BG"/>
        </w:rPr>
        <w:t xml:space="preserve">Понастоящем геронтологията като най-пълно развито направление  на по-общата наука за онтогенезиса на човека има ярко изразен  интегративен характер. М.Д. </w:t>
      </w:r>
      <w:r>
        <w:rPr>
          <w:lang w:val="bg-BG"/>
        </w:rPr>
        <w:t>Александрова</w:t>
      </w:r>
      <w:r>
        <w:rPr>
          <w:b w:val="false"/>
          <w:lang w:val="bg-BG"/>
        </w:rPr>
        <w:t xml:space="preserve"> (2) и редица други автори разграничават </w:t>
      </w:r>
      <w:r>
        <w:rPr>
          <w:i/>
          <w:lang w:val="bg-BG"/>
        </w:rPr>
        <w:t xml:space="preserve">теоретична </w:t>
      </w:r>
      <w:r>
        <w:rPr>
          <w:b w:val="false"/>
          <w:lang w:val="bg-BG"/>
        </w:rPr>
        <w:t xml:space="preserve">геронтология и </w:t>
      </w:r>
      <w:r>
        <w:rPr>
          <w:i/>
          <w:lang w:val="bg-BG"/>
        </w:rPr>
        <w:t>приложна</w:t>
      </w:r>
      <w:r>
        <w:rPr>
          <w:b w:val="false"/>
          <w:lang w:val="bg-BG"/>
        </w:rPr>
        <w:t xml:space="preserve"> геронтология. Проблематиката на съвременната геронтология е тясно свързана с такива фундаментални науки, като медицина, биология, социология и психология.  Наред с общата геронтология в последните десетилетия интензивно се развиват социалната геронтология, психогеронтологията, психосоциалната геронтология, гератохигиената, психогериатрията и др.   Принципът за единството между биологичното и социалното е теоретико-методологическа основа на съвременната  геронтология като интегративна биосоциална наука. Тя е типичен пример за това многообразие от подходи за изучаване на човека, което е свойствено на цялата хуманитаристика. Върху формирането на общобиологичните, на социалните и социално-психологическите отрасли на геронтологията силно влияние оказват особеностите в развитието на обществото, неговото икономическо и културно равнище, такива съвременни тенденции като глобализация, урбанизация и пр. Не по-малък е приносът и на най-новите постижения на такива науки, като демографията, социалната психология,  биофизиката, биохимията, фармакологията и много други (вж. Приложение рис. 1 – 25, с.148)..  </w:t>
      </w:r>
    </w:p>
    <w:p>
      <w:pPr>
        <w:pStyle w:val="Heading3"/>
        <w:jc w:val="both"/>
        <w:rPr/>
      </w:pPr>
      <w:r>
        <w:rPr>
          <w:b w:val="false"/>
          <w:lang w:val="bg-BG"/>
        </w:rPr>
        <w:t xml:space="preserve">В.Ф. </w:t>
      </w:r>
      <w:r>
        <w:rPr>
          <w:lang w:val="bg-BG"/>
        </w:rPr>
        <w:t xml:space="preserve">Мирек </w:t>
      </w:r>
      <w:r>
        <w:rPr>
          <w:b w:val="false"/>
          <w:lang w:val="bg-BG"/>
        </w:rPr>
        <w:t xml:space="preserve">(32, с.64) разграничава </w:t>
      </w:r>
      <w:r>
        <w:rPr>
          <w:i/>
          <w:lang w:val="bg-BG"/>
        </w:rPr>
        <w:t>обща</w:t>
      </w:r>
      <w:r>
        <w:rPr>
          <w:b w:val="false"/>
          <w:lang w:val="bg-BG"/>
        </w:rPr>
        <w:t xml:space="preserve"> и </w:t>
      </w:r>
      <w:r>
        <w:rPr>
          <w:i/>
          <w:lang w:val="bg-BG"/>
        </w:rPr>
        <w:t>специална</w:t>
      </w:r>
      <w:r>
        <w:rPr>
          <w:b w:val="false"/>
          <w:i/>
          <w:lang w:val="bg-BG"/>
        </w:rPr>
        <w:t xml:space="preserve"> </w:t>
      </w:r>
      <w:r>
        <w:rPr>
          <w:b w:val="false"/>
          <w:lang w:val="bg-BG"/>
        </w:rPr>
        <w:t xml:space="preserve">геронтология, отразявайки главно  биологичните аспекти  на тази наука. В раздела обща геронтология  той отнася фундаменталните направления на биологичното изследване на стареенето (от сравнителната геронтология до физико-химичната), а в раздела специална геронтология са включени нейните таксономични подразделения (от антропогеронтологията до виросогеронтологията). </w:t>
      </w:r>
    </w:p>
    <w:p>
      <w:pPr>
        <w:pStyle w:val="Heading3"/>
        <w:jc w:val="both"/>
        <w:rPr>
          <w:b w:val="false"/>
          <w:b w:val="false"/>
        </w:rPr>
      </w:pPr>
      <w:r>
        <w:rPr>
          <w:b w:val="false"/>
          <w:lang w:val="bg-BG"/>
        </w:rPr>
        <w:t xml:space="preserve">Една от най-новите поддисциплини на геронтологията  е </w:t>
      </w:r>
      <w:r>
        <w:rPr>
          <w:i/>
          <w:lang w:val="bg-BG"/>
        </w:rPr>
        <w:t>експерименталната</w:t>
      </w:r>
      <w:r>
        <w:rPr>
          <w:lang w:val="bg-BG"/>
        </w:rPr>
        <w:t xml:space="preserve"> </w:t>
      </w:r>
      <w:r>
        <w:rPr>
          <w:b w:val="false"/>
          <w:lang w:val="bg-BG"/>
        </w:rPr>
        <w:t>геронтология. Тя обикновено се определя като отрасъл на геронтологията, който се занимава с търсенето на пътища и средства за увеличаване продължителността на живота. Експерименталната геронтология възниква като своебразен протест против спекулативно-теоретичното направление в геронтологията, в резултат на осъзнаване на необходимостта от грижливо и методично натрупване на факти. Една от нейните важни задачи е изкуственото моделиране на геронтотенеза на живите същества с цел забавяне процесите на стареене. За експерименталното изучаване на процесите на стареене особено много благоприятстват  успехите на молекулярната биология. Периодът на стареене в онтогенеза на човека обаче продължава няколко десетки години, което затруднява дори допустимите от морално гледище експерименти за активно вмешателство. Поради това в качеството на модели за изучаване на процесите на стареене се използват лабораторни животни с малка продължителност на живота (мишки, плъхове, морски свинчета, зайци, кучета, котки и пр.). Експерименталното определяне на биологическата възраст на лабораторните животни  позволява на  изследователите предварително да оценяват ефективността на въздействието на едни или други фактори върху процесите на стареене. Пред експериментаторите, изучаващи процесите на забавяне на стареенето, на преден план се поставя въпросът за ясно и точно определяне на критериите, по които може да се съди за успеха или неуспеха на едно или друго въздействие. В геронтологията за тази цел се използват методи, отчитащи смъртността,  разработени от демографите още в края на ХІХ век: определяне на вероятността на смъртта в различните моменти от съществуването на популацията; изчисляване на средната и максималната продължителност на живота, начертаване на кривите на живота и пр. Приспособяването на тези методи за оценка на ефективността на средствата, забавящи стареенето, а също и унификацията на тези методи е една от задачите на експерименталната геронтология (19, с.5-10).</w:t>
      </w:r>
    </w:p>
    <w:p>
      <w:pPr>
        <w:pStyle w:val="Heading2"/>
        <w:rPr/>
      </w:pPr>
      <w:bookmarkStart w:id="10" w:name="__RefHeading___Toc89859671"/>
      <w:bookmarkEnd w:id="10"/>
      <w:r>
        <w:rPr/>
        <w:t>3.2. Стареенето и старостта –закономерен процес в онтогенетичното развитие на човека</w:t>
      </w:r>
    </w:p>
    <w:p>
      <w:pPr>
        <w:pStyle w:val="NormalText"/>
        <w:rPr/>
      </w:pPr>
      <w:r>
        <w:rPr/>
        <w:t>Още в условията на първобитния родово-общинен строй се поставя началото на “народната медицина”. Постепенно се зараждат обичаи, които допринасят за предпазване от болести. Много по-високи успехи народната медицина постига през робовладелския строй. Така например в Древен Китай се придава особено висока оценка на движенията и тяхното значение за опазване на здравето. Древнокитайската медицина отделя също голямо внимание на хигиенния режим, на правилното разпределение на работата, почивката и на редовното хранене и диета. В Древна Индия особено широко разпространение получава учението на йогите, което разработва цяла система за здравословен стил и начин на живот. И в Древния Египет за укрепване на организма и за предпазване от болести се препоръчва ранно ставане, гимнастика, обтриване на тялото със студена вода, бягане, плуване, хвърляне на тежести и др. Основен идеал на древните гърци е хармоничното физическо и духовно развитие. Според древните римляни болните трябва да бъдат лекувани чрез продължително пребиваване на чист въздух, защото чистият въздух и храната образуват атомите на тялото. Препоръчват се и физическите упражнения, защото те допринасят за възстановяване на нормалното движение на атомите в порите и тъканите.</w:t>
      </w:r>
    </w:p>
    <w:p>
      <w:pPr>
        <w:pStyle w:val="Heading3"/>
        <w:jc w:val="both"/>
        <w:rPr/>
      </w:pPr>
      <w:r>
        <w:rPr>
          <w:b w:val="false"/>
          <w:lang w:val="bg-BG"/>
        </w:rPr>
        <w:t xml:space="preserve">Учението за стареенето съпътства възникването на медицинската наука. Първите описания на признаците на стареенето и на болестите при старите хора се откриват още в трудовете на лекарите от школата на </w:t>
      </w:r>
      <w:r>
        <w:rPr>
          <w:lang w:val="bg-BG"/>
        </w:rPr>
        <w:t xml:space="preserve">Хипократ </w:t>
      </w:r>
      <w:r>
        <w:rPr>
          <w:b w:val="false"/>
          <w:lang w:val="bg-BG"/>
        </w:rPr>
        <w:t xml:space="preserve">(460-370 г. пр.н.е.). Според техните схващания протичането на различните заболявания зависи преди всичко от възрастта, като болестите при старите хора се развиват по-различно от тези при лицата в млада възраст. С голяма популярност се ползвала разработената схема за хигиенния режим за старите хора, изградена на принципа “умереност във всичко” – т.е. прогресивно намаляване на количеството на храната, запазване навиците и постепенно оттегляне от активна трудова дейност.  </w:t>
      </w:r>
    </w:p>
    <w:p>
      <w:pPr>
        <w:pStyle w:val="Heading3"/>
        <w:jc w:val="both"/>
        <w:rPr/>
      </w:pPr>
      <w:r>
        <w:rPr>
          <w:b w:val="false"/>
          <w:lang w:val="bg-BG"/>
        </w:rPr>
        <w:t xml:space="preserve">Опознаването същността на процесите на стареене по-късно се свързва с развитието на клиничната медицина, но в продължение на много столетия вниманието се съсредоточава върху режима на ортобиозата за лицата в старческа възраст, т.е. водене на природосъобразен начин на живот.Това начало намира високо развитие при </w:t>
      </w:r>
      <w:r>
        <w:rPr>
          <w:lang w:val="bg-BG"/>
        </w:rPr>
        <w:t xml:space="preserve">Гален </w:t>
      </w:r>
      <w:r>
        <w:rPr>
          <w:b w:val="false"/>
          <w:lang w:val="bg-BG"/>
        </w:rPr>
        <w:t xml:space="preserve">и неговата школа, схващанията на която са особено популярни чак до края на ХVІІІ век. За пръв път се лансира възгледът, че старостта е естествен процес. Галеновата школа разработва обширна програма за режима на остаряващия човек. Особено място в нея се отдава на диетата и храненето. Включени са също и правила за лична хигиена, провеждане на периодични бани, масажи, извършване на упражнения.  </w:t>
      </w:r>
    </w:p>
    <w:p>
      <w:pPr>
        <w:pStyle w:val="Heading3"/>
        <w:jc w:val="both"/>
        <w:rPr/>
      </w:pPr>
      <w:r>
        <w:rPr>
          <w:b w:val="false"/>
          <w:lang w:val="bg-BG"/>
        </w:rPr>
        <w:t xml:space="preserve">Съчиненията на най-изтъкнатия представител на арабската медицина </w:t>
      </w:r>
      <w:r>
        <w:rPr>
          <w:lang w:val="bg-BG"/>
        </w:rPr>
        <w:t xml:space="preserve">Абу-Али-Ибн-Сина (Авицена) </w:t>
      </w:r>
      <w:r>
        <w:rPr>
          <w:b w:val="false"/>
          <w:lang w:val="bg-BG"/>
        </w:rPr>
        <w:t>допълват възгледите на школата на Гален и програмата й за режима на остаряващия човек с нови правила и съвети. В режима на хранене Авицена препоръчва предимно млечно-растителна храна, малки количества червено вино, разходки, масаж, езда и използване на разслабителни средства.</w:t>
      </w:r>
    </w:p>
    <w:p>
      <w:pPr>
        <w:pStyle w:val="Heading3"/>
        <w:jc w:val="both"/>
        <w:rPr/>
      </w:pPr>
      <w:r>
        <w:rPr>
          <w:b w:val="false"/>
          <w:lang w:val="bg-BG"/>
        </w:rPr>
        <w:t xml:space="preserve">Представителите на   </w:t>
      </w:r>
      <w:r>
        <w:rPr>
          <w:lang w:val="bg-BG"/>
        </w:rPr>
        <w:t>Салернската  медицинска школа</w:t>
      </w:r>
      <w:r>
        <w:rPr>
          <w:b w:val="false"/>
          <w:lang w:val="bg-BG"/>
        </w:rPr>
        <w:t xml:space="preserve"> се ръководят от възгледа, че лекарското изкуство не е в състояние да удължи човешкия живот извън пределите на биологичните норми. За достигане на дълголетие те препоръчват “Умерен начин на живот, радостно настроение и почивка”.</w:t>
      </w:r>
    </w:p>
    <w:p>
      <w:pPr>
        <w:pStyle w:val="Heading3"/>
        <w:jc w:val="both"/>
        <w:rPr/>
      </w:pPr>
      <w:r>
        <w:rPr>
          <w:b w:val="false"/>
          <w:lang w:val="bg-BG"/>
        </w:rPr>
        <w:t xml:space="preserve">Краят на Галеновите принципи в геронтологията бележи изтъкнатият  учен Х. </w:t>
      </w:r>
      <w:r>
        <w:rPr>
          <w:lang w:val="bg-BG"/>
        </w:rPr>
        <w:t>Хуфеланд</w:t>
      </w:r>
      <w:r>
        <w:rPr>
          <w:b w:val="false"/>
          <w:lang w:val="bg-BG"/>
        </w:rPr>
        <w:t xml:space="preserve"> (1762-1836), основоположник на немската гериатрия.  В своето прочуто съчинение “Изкуство да се продължи човешкият живот - макробиотика” той създава цяло направление в хигиената, основно съдържание на което е режимът (на труд, хранене, почивка; прекарване на повече време сред природата; грижи за  личната  хигиена, постигане на психично равновесие, стремеж да се избягват вредностите).</w:t>
      </w:r>
    </w:p>
    <w:p>
      <w:pPr>
        <w:pStyle w:val="Heading3"/>
        <w:jc w:val="both"/>
        <w:rPr/>
      </w:pPr>
      <w:r>
        <w:rPr>
          <w:b w:val="false"/>
          <w:lang w:val="bg-BG"/>
        </w:rPr>
        <w:t xml:space="preserve">Друг виден представител  на геронтологията през ХVІІІ век е Ж. </w:t>
      </w:r>
      <w:r>
        <w:rPr>
          <w:lang w:val="bg-BG"/>
        </w:rPr>
        <w:t>Моргани</w:t>
      </w:r>
      <w:r>
        <w:rPr>
          <w:b w:val="false"/>
          <w:lang w:val="bg-BG"/>
        </w:rPr>
        <w:t xml:space="preserve">. В резултат на наблюдения и аутопсия на старци той дава подробно описание на промените при атеросклероза,  при белодробни заболявания, заболявания на стомаха, рак на простатата и др. Определен принос за разкриване на механизмите на стареенето и профилактиката на болестите в старческа възраст имат също англейският умен Дж. </w:t>
      </w:r>
      <w:r>
        <w:rPr>
          <w:lang w:val="bg-BG"/>
        </w:rPr>
        <w:t>Синклер</w:t>
      </w:r>
      <w:r>
        <w:rPr>
          <w:b w:val="false"/>
          <w:lang w:val="bg-BG"/>
        </w:rPr>
        <w:t xml:space="preserve">, руските учени П. </w:t>
      </w:r>
      <w:r>
        <w:rPr>
          <w:lang w:val="bg-BG"/>
        </w:rPr>
        <w:t>Енгаличев</w:t>
      </w:r>
      <w:r>
        <w:rPr>
          <w:b w:val="false"/>
          <w:lang w:val="bg-BG"/>
        </w:rPr>
        <w:t xml:space="preserve">, И.И. </w:t>
      </w:r>
      <w:r>
        <w:rPr>
          <w:lang w:val="bg-BG"/>
        </w:rPr>
        <w:t>Мечников</w:t>
      </w:r>
      <w:r>
        <w:rPr>
          <w:b w:val="false"/>
          <w:lang w:val="bg-BG"/>
        </w:rPr>
        <w:t xml:space="preserve"> , българските автори Г. </w:t>
      </w:r>
      <w:r>
        <w:rPr>
          <w:lang w:val="bg-BG"/>
        </w:rPr>
        <w:t>Стойнев</w:t>
      </w:r>
      <w:r>
        <w:rPr>
          <w:b w:val="false"/>
          <w:lang w:val="bg-BG"/>
        </w:rPr>
        <w:t xml:space="preserve">, Др. </w:t>
      </w:r>
      <w:r>
        <w:rPr>
          <w:lang w:val="bg-BG"/>
        </w:rPr>
        <w:t>Матеев</w:t>
      </w:r>
      <w:r>
        <w:rPr>
          <w:b w:val="false"/>
          <w:lang w:val="bg-BG"/>
        </w:rPr>
        <w:t xml:space="preserve">, Т. </w:t>
      </w:r>
      <w:r>
        <w:rPr>
          <w:lang w:val="bg-BG"/>
        </w:rPr>
        <w:t>Ташев</w:t>
      </w:r>
      <w:r>
        <w:rPr>
          <w:b w:val="false"/>
          <w:lang w:val="bg-BG"/>
        </w:rPr>
        <w:t xml:space="preserve">, Ж. </w:t>
      </w:r>
      <w:r>
        <w:rPr>
          <w:lang w:val="bg-BG"/>
        </w:rPr>
        <w:t>Ламбрев</w:t>
      </w:r>
      <w:r>
        <w:rPr>
          <w:b w:val="false"/>
          <w:lang w:val="bg-BG"/>
        </w:rPr>
        <w:t xml:space="preserve"> ,П. </w:t>
      </w:r>
      <w:r>
        <w:rPr>
          <w:lang w:val="bg-BG"/>
        </w:rPr>
        <w:t>Николов</w:t>
      </w:r>
      <w:r>
        <w:rPr>
          <w:b w:val="false"/>
          <w:lang w:val="bg-BG"/>
        </w:rPr>
        <w:t xml:space="preserve">, Ст. </w:t>
      </w:r>
      <w:r>
        <w:rPr>
          <w:lang w:val="bg-BG"/>
        </w:rPr>
        <w:t>Визев</w:t>
      </w:r>
      <w:r>
        <w:rPr>
          <w:b w:val="false"/>
          <w:lang w:val="bg-BG"/>
        </w:rPr>
        <w:t xml:space="preserve"> и много други.  </w:t>
      </w:r>
    </w:p>
    <w:p>
      <w:pPr>
        <w:pStyle w:val="Heading3"/>
        <w:jc w:val="both"/>
        <w:rPr/>
      </w:pPr>
      <w:r>
        <w:rPr>
          <w:b w:val="false"/>
          <w:lang w:val="bg-BG"/>
        </w:rPr>
        <w:t>“</w:t>
      </w:r>
      <w:r>
        <w:rPr>
          <w:b w:val="false"/>
          <w:lang w:val="bg-BG"/>
        </w:rPr>
        <w:t xml:space="preserve">Съвременната геронтология, разглеждайки … стареенето като продължителен биологичен процес, установи комплекс от структурни, обменни и функционални промени в организма с напредването на възрастта”(12, с.8). При обясняване на механизмите на стареенето се обръща внимание на процесите на </w:t>
      </w:r>
      <w:r>
        <w:rPr>
          <w:lang w:val="bg-BG"/>
        </w:rPr>
        <w:t xml:space="preserve">инволюция </w:t>
      </w:r>
      <w:r>
        <w:rPr>
          <w:b w:val="false"/>
          <w:lang w:val="bg-BG"/>
        </w:rPr>
        <w:t xml:space="preserve">(низходящо развитие) и </w:t>
      </w:r>
      <w:r>
        <w:rPr>
          <w:lang w:val="bg-BG"/>
        </w:rPr>
        <w:t xml:space="preserve">атрофия </w:t>
      </w:r>
      <w:r>
        <w:rPr>
          <w:b w:val="false"/>
          <w:lang w:val="bg-BG"/>
        </w:rPr>
        <w:t xml:space="preserve">(нехранене) на клетките, тъканите, органите и системите на организма. Същевременно обаче мнозина учени подчертават, че наред с тези промени възникват и редица приспособителни механизми, осигуряващи съществуването на организма при определени условия, т.е. налице са и </w:t>
      </w:r>
      <w:r>
        <w:rPr>
          <w:lang w:val="bg-BG"/>
        </w:rPr>
        <w:t>еволюционни процеси</w:t>
      </w:r>
      <w:r>
        <w:rPr>
          <w:b w:val="false"/>
          <w:lang w:val="bg-BG"/>
        </w:rPr>
        <w:t xml:space="preserve">.  </w:t>
      </w:r>
    </w:p>
    <w:p>
      <w:pPr>
        <w:pStyle w:val="Heading3"/>
        <w:jc w:val="both"/>
        <w:rPr/>
      </w:pPr>
      <w:r>
        <w:rPr>
          <w:b w:val="false"/>
          <w:lang w:val="bg-BG"/>
        </w:rPr>
        <w:t xml:space="preserve">Както посочва проф. Ст. </w:t>
      </w:r>
      <w:r>
        <w:rPr>
          <w:lang w:val="bg-BG"/>
        </w:rPr>
        <w:t>Визев</w:t>
      </w:r>
      <w:r>
        <w:rPr>
          <w:b w:val="false"/>
          <w:lang w:val="bg-BG"/>
        </w:rPr>
        <w:t xml:space="preserve"> (12, с. 8 и сл.) атрофията е физиологичен процес, който характеризира старостта като биологично явление. Тя се наблюдава на молекулярно и субмолекулярно ниво и обхваща всички органи и тъкани в различна степен. Обикновено се намаляват размерите на клетките, както и техният брой, тъй като някои от тях загиват. Успоредно с това обаче могат да се открият единични увеличени по обем клетки. Намалява също обемът на органа или тъканта. При това атрофичните изменения се извършват, без да са налице патологични клинични изяви. Някои органи се подлагат в определена възраст на атрофия във връзка с намаляване на тяхната функция (типичен пример за това е тимусната жлеза, промените в която започват още в млада възраст. През този период загубата на елементите на тъканите обаче се уравновесява с образуването на нови клетки, докато с напредването на възрастта този процес се затруднява). Атрофията може да бъде ускорена от някои биологични и социални фактори – най-често прекарани тежки заболявания.</w:t>
      </w:r>
    </w:p>
    <w:p>
      <w:pPr>
        <w:pStyle w:val="Heading3"/>
        <w:jc w:val="both"/>
        <w:rPr/>
      </w:pPr>
      <w:r>
        <w:rPr>
          <w:b w:val="false"/>
          <w:lang w:val="bg-BG"/>
        </w:rPr>
        <w:t xml:space="preserve">Инволюционните и атрофичните процеси на организмено ниво функционално се изразяват в такива характерни промени, като адинамия  (безсилие), намален тонус, намалена чувствителност, намалена секреция, полова слабост и др. Към тези изменения на старческата атрофия се прибавят и функционалните промени в храносмилателната и отделителната система, промените в опорно-двигателния апарат, кожата, както и в компенсаторно-приспособителните възможности на организма. Най-дълбоки възрастови изменения настъпват в сърдечно-съдовата (големите и средните кръвоносни съдове), в мускулната и костната система, в някои лимфни органи и в жлезите с вътрешна секреция. Мнозина автори обръщат внимание на обстоятелството, че инволюционни процеси се наблюдават в организма на човека в течение на целия негов живот, дори още в ембрионалния стадий на развитие. В късните периоди от живота на човека обаче тези промени придобиват изключително важно значение, тъй като стават преобладаващи и представляват същността на стареенето. Настъпва общо снижаване на жизнедейността на целия организъм с намаляване на неговата реактивност. Наблюдава се упадък в скоростта на физиологичните процеси в организма, а по-късно и угасване на техните функции. Функционалните промени на стария организъм най-често водят до  неговата бърза уморяемост. На организмено ниво стареенето обхваща не само функционални, а и структурни промени. На по-ниско ниво настъпват изменения във физико-химичните свойства на молекулите, обменните реакции, функционалните възможности на тъканите, органите и системите. Като пример за такива възрастови изменения могат да се посочат промените в двигателния апарат, в сърдечно-съдовата, ендокринната, мускулната и други системи, както и във морфологичните структури и функционалните особености на централната нервна система. В основата им са първичните промени в клетъчните структури. </w:t>
      </w:r>
    </w:p>
    <w:p>
      <w:pPr>
        <w:pStyle w:val="Heading3"/>
        <w:jc w:val="both"/>
        <w:rPr/>
      </w:pPr>
      <w:r>
        <w:rPr>
          <w:b w:val="false"/>
          <w:lang w:val="bg-BG"/>
        </w:rPr>
        <w:t xml:space="preserve">Обобщено, стареенето е закономерно протичащ във времето биологичен процес, който е съпроводен с  постепенното отслабване на приспособителните възможности на организма, като  при тяхното изчерпване се стига до смърт. То е вътрешнопротиворечива проява, в хода на която възникват не само нарушения в обмяната на веществата и функциите на организма, а и се мобилизират важни компенсаторни механизми. При това възрастовите функционални и структурни промени на стареенето в отделните органи и системи настъпват различно по време (хетерохронност). Заедно с това е налице разнопосочност на възрастовите изменения, т.е. потискане на едни и активизиране на други жизнени процеси в остаряващия организъм (хетерокатефтенност). Изразеността на сенилните (старческите) промени в едни и същи органи и системи не е еднаква (хетеротонност). Стареенето на целия организъм обаче като че ли протича  “синхронно”. Структурните и функционалните промени на стареенето и старостта не подлежат на строга “регламентация” във времето. Те винаги отразяват както индивидуалното, така и социалното в природата на човека. </w:t>
      </w:r>
    </w:p>
    <w:p>
      <w:pPr>
        <w:pStyle w:val="Heading3"/>
        <w:jc w:val="both"/>
        <w:rPr>
          <w:b w:val="false"/>
          <w:b w:val="false"/>
          <w:lang w:val="bg-BG"/>
        </w:rPr>
      </w:pPr>
      <w:r>
        <w:rPr>
          <w:b w:val="false"/>
          <w:lang w:val="bg-BG"/>
        </w:rPr>
        <w:t xml:space="preserve">По-важните  структурни (морфологични) и функционални белези на стареенето и старостта са ( вж.по-подробно 12, с. 15-61): </w:t>
      </w:r>
    </w:p>
    <w:p>
      <w:pPr>
        <w:pStyle w:val="Heading3"/>
        <w:numPr>
          <w:ilvl w:val="0"/>
          <w:numId w:val="6"/>
        </w:numPr>
        <w:jc w:val="both"/>
        <w:rPr/>
      </w:pPr>
      <w:r>
        <w:rPr>
          <w:b w:val="false"/>
          <w:lang w:val="bg-BG"/>
        </w:rPr>
        <w:t xml:space="preserve">На </w:t>
      </w:r>
      <w:r>
        <w:rPr>
          <w:lang w:val="bg-BG"/>
        </w:rPr>
        <w:t>клетъчно ниво</w:t>
      </w:r>
      <w:r>
        <w:rPr>
          <w:b w:val="false"/>
          <w:lang w:val="bg-BG"/>
        </w:rPr>
        <w:t xml:space="preserve">:  настъпват редица структурни промени в клетката – ядрото й се увеличава по обем и често придобива неправилна форма; мембраната му увеличава повърхността си и загрубява; в цитоплазмата се появяват вдлъбвания; понякога се откриват дву- или многоядрени клекти; намалява се плътността на митохондриите, разглеждани като “ензимни централи”; в някои клетки могат да се открият малки, а в други – гигантски митохондрии; и пр. </w:t>
      </w:r>
    </w:p>
    <w:p>
      <w:pPr>
        <w:pStyle w:val="Heading3"/>
        <w:numPr>
          <w:ilvl w:val="0"/>
          <w:numId w:val="61"/>
        </w:numPr>
        <w:jc w:val="both"/>
        <w:rPr/>
      </w:pPr>
      <w:r>
        <w:rPr>
          <w:lang w:val="bg-BG"/>
        </w:rPr>
        <w:t xml:space="preserve">В сърдечно-съдовата система. </w:t>
      </w:r>
      <w:r>
        <w:rPr>
          <w:b w:val="false"/>
          <w:lang w:val="bg-BG"/>
        </w:rPr>
        <w:t xml:space="preserve">В тази система възрастовите промени са едни от най-значителните. Те започват твърде рано. Особено големи са промените в артериалните съдове. Изградени са от три стени: вътрешна (интима), среден слой (медиа) и външен слой (адвентия). Още след раждането вътрешната стена започва да се разраства много по-бързо в сравнение с останалите. Артериалните стени започват бавно, но прогресивно да губят своята еластичност. А това води до увеличаване на просвета на съдовете. След 60-70-годишна възраст в съдовете се откриват дълбоки дегенеративни промени в съединителната тъкан. С напредването на възрастта в средния слой на артериите се отлагат соли и калций. Промените във венозните съдове се изразяват предимно с увеличаване големината на напречните сечения. С напредването на възрастта структурните промени засягат предимно формата и теглото на сърцето. То непрекъснато расте до петото-шестото десетилетие, след което теглото му намалява. Клетките на миокарда нарастват също до шестото десетилетие. Като критична точка за теглото на сърцето се определят 500 г. Сърдечните мускулни клетки в напреднала и старческа възраст се изпълват с пигмент – липофуцин. Откриват се и атрофични промени на някои мускулни клетки и огнищни изменения под формата на набъбване. Структурните възрастови изменения засягат най-много аортата. В резултат на тях артериалните и венозните клонове се удължават и набъбват. Преустройва се и цялата капилярна мрежа. Нарушената съдова микроциркулация с последващо нарушено хранене на организма довежда до инволютивни промени. С напредването на възрастта постепенно нараства и кръвното налягане, предимно систоличното, а се понижава венозното налягане. В старостта значително се намалява и минутният обем. Функционалните промени на миокарда се изразяват предимно с понижена съкратителна способност. С напредването на възрастта намалява нуждата от кислород на сърцето, честотата на сърдечните съкращения също  намалява, но в дълбока старост често се наблюдава и учестяване. При учестена сърдечна дейност (тахикардия) бързо може да възникне несъответствие между сърдечното кръвоснабдяване и обменната активност на миокарда и да се създадат условия за лесно възникване на исхемия.   </w:t>
      </w:r>
    </w:p>
    <w:p>
      <w:pPr>
        <w:pStyle w:val="Heading3"/>
        <w:numPr>
          <w:ilvl w:val="0"/>
          <w:numId w:val="9"/>
        </w:numPr>
        <w:jc w:val="both"/>
        <w:rPr/>
      </w:pPr>
      <w:r>
        <w:rPr>
          <w:b w:val="false"/>
          <w:lang w:val="bg-BG"/>
        </w:rPr>
        <w:t xml:space="preserve">В </w:t>
      </w:r>
      <w:r>
        <w:rPr>
          <w:lang w:val="bg-BG"/>
        </w:rPr>
        <w:t>дихателната система</w:t>
      </w:r>
      <w:r>
        <w:rPr>
          <w:b w:val="false"/>
          <w:lang w:val="bg-BG"/>
        </w:rPr>
        <w:t xml:space="preserve">. Инволютивните промени в гръдния кош, в гръбначния стълб и в дихателната мускулатура ограничават дихателната повърхност и подвижност. Най-често гръдният кош добива бъчвообразна форма поради увеличаването на предно-задния му диаметър. Бронхиалната мускулатура също атрофира. Стените на бронхите склерозират, с което се изменя техният нормален просвет. Намалява еластичността на алвеоларните стени. Повишава се честотата на дихателните аритмии с напредването на възрастта. Намалява белодробният паренхим. Откриват се и провени в алвеолите, предимно задебелявания на еластичните влакна. Съществени промени настъпват в белодробния обем, като се понижава ефективността на вентилацията.  </w:t>
      </w:r>
    </w:p>
    <w:p>
      <w:pPr>
        <w:pStyle w:val="Heading3"/>
        <w:numPr>
          <w:ilvl w:val="0"/>
          <w:numId w:val="73"/>
        </w:numPr>
        <w:jc w:val="both"/>
        <w:rPr/>
      </w:pPr>
      <w:r>
        <w:rPr>
          <w:b w:val="false"/>
          <w:lang w:val="bg-BG"/>
        </w:rPr>
        <w:t xml:space="preserve">В </w:t>
      </w:r>
      <w:r>
        <w:rPr>
          <w:lang w:val="bg-BG"/>
        </w:rPr>
        <w:t>костната система</w:t>
      </w:r>
      <w:r>
        <w:rPr>
          <w:b w:val="false"/>
          <w:lang w:val="bg-BG"/>
        </w:rPr>
        <w:t xml:space="preserve">. Костната тъкан търпи значителни остеопорозни промени. Плътното вещество (компактното) изтънява, а се увеличава порестото (спонгиозното). В дългите кости изтъняването на плътното вещество е най-добре изразено. Поради резорбиране на костното вещество и на деминерализация костта постепенно се разредява и възникват условия за остеопороза. Измененията в хрущялна тъкан настъпват значително по-рано. Горната челюст подчертано атрофира и се обхваща от долната. Последната става тънка като сърповидна дъга. С напредването на възрастта често се наблюдават изкривявания и прегърбвания. В дълбока старост процесът засяга почти всички кости. Нарушават се кръвотворната функция на костния мозък и отлагането на минерални вещества в костите – калций, фосфор, натрий, калий и др. Инволютивни промени настъпва и в ставите. Те са най-добре изразени в тазо-бедрената, коленната и раменната става. Едно от най-честите явления при старите хора  е счупването на шийката на бедрената кост. В резултат на сенилните изменения в двигателния апарат (костно-ставен и нервно-мускулен) намалява значително ръстът на индивида, който придобива характерна за старческата възраст стойка. Измененията в костно-ставната система принуждават стария човек да се движи внимателно, особено да ограничава излизанията си извън дома по време на заледявания, да ползва подходящи обувки и др.  Американското списание “Health” (Здраве) публикува интересно проучване върху несигурната (“плаваща”) походка на хората от третата възраст. Освен от увреждания в стави, мускули и кости, според авторите на статията тя може да бъде породена и от причини в мозъка, нервите и сетивата. Най-честата причина е лошото кръвоснабдяване на мозъка. От своя страна, то може да се дължи на: а) атеросклероза. Тя атакува не само кората на мозъка, а и малкия мозък, който контролира равновесието. Твърде често склерозират също и артерийки във вътрешното ухо и се нарушава работата на органа на равновесието; б) анемия; в) хипертония и диабет, защото и хипер- и хипогликемията разстройват снабдяването на мозъка с кислород; г) проблеми с очите – намаляване на зрението; д) шипове на шиен прешлен, които пряко притискат артерии на мозъка и намаляват притока на кръв; е) увреждане на органа на равновесието във вътрешното ухо от възпаления, травми, вирусни инфекции; ж) травми в главата; з) зависимост от алкохол; и др.  </w:t>
      </w:r>
    </w:p>
    <w:p>
      <w:pPr>
        <w:pStyle w:val="Heading3"/>
        <w:numPr>
          <w:ilvl w:val="0"/>
          <w:numId w:val="38"/>
        </w:numPr>
        <w:jc w:val="both"/>
        <w:rPr/>
      </w:pPr>
      <w:r>
        <w:rPr>
          <w:b w:val="false"/>
          <w:lang w:val="bg-BG"/>
        </w:rPr>
        <w:t xml:space="preserve">В </w:t>
      </w:r>
      <w:r>
        <w:rPr>
          <w:lang w:val="bg-BG"/>
        </w:rPr>
        <w:t xml:space="preserve">мускулната система. </w:t>
      </w:r>
      <w:r>
        <w:rPr>
          <w:b w:val="false"/>
          <w:lang w:val="bg-BG"/>
        </w:rPr>
        <w:t xml:space="preserve">Подчертана атрофия се открива най-често в мускулите, поддържащи в изправено положение гръбначния стълб. Намалява общата телесна мускулатура. В старческата  възраст атрофията може да достигне дори до 40%. Значително дегенерира и съединителната тъкан на мускулите. В нервните клетки, участващи в инервацията на мускулите, настъпват деструктивни процеси. Общата вода в мускулите намалява. Намалява концентрацията на калиевите йони и нарастват йоните на натрия.  Възбудимостта на мускулите в старческа възраст се снижава. Увеличава се скритият период на рефлекторни реакции. Процесът на възбуждението протича забавено в мускулните влакна. Мускулният тонус и сила намаляват. Характерната старческа походка се обуславя както от промените в нервната система, така и от нарушената съкратителна способност на мускулите. Изменения се наблюдават и съединителната тъкан, като една от важните системи, участващи активно в процеса на стареенето. С напредването на възрастта се увеличава влакнестата съединителна тъкан. Наблюдават се промени в някои от свойствата на съединителната тъкан. Променят се  багрилните свойства на тъканта. </w:t>
      </w:r>
    </w:p>
    <w:p>
      <w:pPr>
        <w:pStyle w:val="Heading3"/>
        <w:numPr>
          <w:ilvl w:val="0"/>
          <w:numId w:val="40"/>
        </w:numPr>
        <w:jc w:val="both"/>
        <w:rPr/>
      </w:pPr>
      <w:r>
        <w:rPr>
          <w:b w:val="false"/>
          <w:lang w:val="bg-BG"/>
        </w:rPr>
        <w:t xml:space="preserve">В </w:t>
      </w:r>
      <w:r>
        <w:rPr>
          <w:lang w:val="bg-BG"/>
        </w:rPr>
        <w:t>кожата</w:t>
      </w:r>
      <w:r>
        <w:rPr>
          <w:b w:val="false"/>
          <w:lang w:val="bg-BG"/>
        </w:rPr>
        <w:t xml:space="preserve">. Значителни промени се наблюдават в кожата. Намаляват сочността, розовината, еластичността и лъскавината й. Подкожната мастна тъкан намалява, в резултат на което се отпуска и набръчква. Тя става суха, с груб релеф, на места пигментира. Защитните свойства на кожата у старите хора намаляват, в резултат на което често се наблюдават инфекции. Открива се задебеляване на роговия слой, докато при младите горният слой на епитела на кожата на ръцете се обновява всеки ден, на лицето и главата – веднъж на три дни, а на тялото – веднъж в седмицата!). Потните и мастните жлези също намаляват. Наблюдават се разстройства на  терморегулационните рефлекси. Променя се и водно-солевата обмяна на кожата. Съдържанието на водата се повишава, а отделителната функция на кожата силно се понижава.  </w:t>
      </w:r>
    </w:p>
    <w:p>
      <w:pPr>
        <w:pStyle w:val="Heading3"/>
        <w:numPr>
          <w:ilvl w:val="0"/>
          <w:numId w:val="40"/>
        </w:numPr>
        <w:jc w:val="both"/>
        <w:rPr>
          <w:lang w:val="bg-BG"/>
        </w:rPr>
      </w:pPr>
      <w:r>
        <w:rPr>
          <w:b w:val="false"/>
          <w:lang w:val="bg-BG"/>
        </w:rPr>
        <w:t xml:space="preserve">В </w:t>
      </w:r>
      <w:r>
        <w:rPr>
          <w:lang w:val="bg-BG"/>
        </w:rPr>
        <w:t xml:space="preserve">храносмилателната система. </w:t>
      </w:r>
      <w:r>
        <w:rPr>
          <w:b w:val="false"/>
          <w:lang w:val="bg-BG"/>
        </w:rPr>
        <w:t xml:space="preserve">Промените в храносмилателната система започват твърде  рано, но тя “старее” по-бавно в сравнение със сърдечно-съдовата, ендокринната, костно-ставната. Шийките на зъбите се оголват и обеззъбяването при  някои хора настъпва твърде рано. Атрофират челюстите и слюнчените жлези. Намалява отделянето на слюнка и ферментивната й активност се снижава. Функционален израз на тези промени е сухотата в устата. За избегнат това неприятно усещане  старите хора предпочитат да смучат бонбони. Атрофия настъпва и в дъвкателната мускулатура. В процеса на стареенето инволютивни процеси се наблюдават в хранопровода, стомаха и червата. Тонусът на хранопровода постепенно намалява, в резултат на което той се разширява и удължава. Силата и скоростта на перисталтичните движения също намаляват. В резултат на атрофични процеси слизестата обвивка на стомаха изтънява. Наблюдават се и значителни изменения в моторно-секреторната реакция на стомаха – тонусът и двигателните му функции закономерно се снижават. Намалява киселинността на стомашния сок. В тънките и дебелите черва в процеса на стареенето се открива атрофия на жлезистата и гладкомускулната тъкан. Понижава се тяхната моторна функция. Перисталтиката им става вяла. Общата дължина на червата се увеличава. Често дебелите черва се разширяват и фекалните маси се задържат по-дълго  време в тях. Двигателната функция и общият тонус на храносмилателната система се снижават. Явления на атрофия се наблюдават и в черния дроб. В старческата възраст намалява неговото тегло, както и количеството на рибонуклеиновата киселина (РНК). Намаляват албумините, протромбинът, а се увеличават алфа-, бета-, гама-глуболините и фибриогенът.  Наблюдават се и промени в жлъчния мехур (снижена концентрационна и моторно-евакуираща функция). Това налага предпочитание на употреба на растителни масла и витамини. </w:t>
      </w:r>
    </w:p>
    <w:p>
      <w:pPr>
        <w:pStyle w:val="Heading3"/>
        <w:numPr>
          <w:ilvl w:val="0"/>
          <w:numId w:val="37"/>
        </w:numPr>
        <w:jc w:val="both"/>
        <w:rPr>
          <w:lang w:val="bg-BG"/>
        </w:rPr>
      </w:pPr>
      <w:r>
        <w:rPr>
          <w:b w:val="false"/>
          <w:lang w:val="bg-BG"/>
        </w:rPr>
        <w:t xml:space="preserve">В </w:t>
      </w:r>
      <w:r>
        <w:rPr>
          <w:lang w:val="bg-BG"/>
        </w:rPr>
        <w:t>отделителната система</w:t>
      </w:r>
      <w:r>
        <w:rPr>
          <w:b w:val="false"/>
          <w:lang w:val="bg-BG"/>
        </w:rPr>
        <w:t xml:space="preserve">. С напредването на възрастта настъпват атрофични и инволютивни промени и в отделителната система. Теглото на бъбреците постепенно намалява. Паренхимът започва бавно да загива. Понижава се физиологичното ниво на бъбречното кръвообращение. Нервната регулация на бъбреците става по-инертна. Структурни промени се откриват в мускулите в чашките на бъбреците. Отслабва тонусът на легенчетата. Пикочният мехур също търпи възрастови промени. Надебеляват стените на мехура, намалява неговата еластичност. Учестяването на позивите за уриниране в старческа възраст се обяснява с понижената възможност за разтягане на стените на пикочния мехур. Простатната жлеза до 60-годишна възраст обикновено запазва своята структура. В напреднала и старческа възраст тя често се увеличава (хипертрофира – аденом на простатата). С това още повече се усложняват условията за нарушена уродинамика.  </w:t>
      </w:r>
    </w:p>
    <w:p>
      <w:pPr>
        <w:pStyle w:val="Heading3"/>
        <w:numPr>
          <w:ilvl w:val="0"/>
          <w:numId w:val="37"/>
        </w:numPr>
        <w:jc w:val="both"/>
        <w:rPr>
          <w:lang w:val="bg-BG"/>
        </w:rPr>
      </w:pPr>
      <w:r>
        <w:rPr>
          <w:b w:val="false"/>
          <w:lang w:val="bg-BG"/>
        </w:rPr>
        <w:t xml:space="preserve">В </w:t>
      </w:r>
      <w:r>
        <w:rPr>
          <w:lang w:val="bg-BG"/>
        </w:rPr>
        <w:t>нервната система</w:t>
      </w:r>
      <w:r>
        <w:rPr>
          <w:b w:val="false"/>
          <w:lang w:val="bg-BG"/>
        </w:rPr>
        <w:t xml:space="preserve">. В нервната система настъпват редица промени, които й дават специфична характеристика. Надебелява твърдата обвивка на главния и гръбначния мозък, а меката обвивка започва да губи своята прозрачност и загрубява. Теглото на главния мозък намалява. Мозъчните бразди се разширяват, а гънките изтъняват. Намалява броят на нервните клетки.Този процес е най-силно изразен при пирамидните клетки на мозъка, и то предимно в неговата челна част. Специфична и своеобразна форма на старчески изменения на мозъчната тъкан са т.нар. “старчески плаки” (“старчески друзи”), които обикновено имат вид на звезди, колелца или клъбца. С напредването на възрастта се наблюдават и дълбоки изменения в самата структура на нервните клетки. Подложени на старческа атрофия, в тях се появяват пигментни образувания. Значителни са промените  в старостта и в гръбначния мозък, особено в сивото вещество и в предните рога. Най-изявена е пигментната атрофия – отлагането на липофуцин. Вегетативната нервна система също търпи редица атрофични промени.  </w:t>
      </w:r>
    </w:p>
    <w:p>
      <w:pPr>
        <w:pStyle w:val="Heading3"/>
        <w:numPr>
          <w:ilvl w:val="0"/>
          <w:numId w:val="37"/>
        </w:numPr>
        <w:jc w:val="both"/>
        <w:rPr>
          <w:lang w:val="bg-BG"/>
        </w:rPr>
      </w:pPr>
      <w:r>
        <w:rPr>
          <w:b w:val="false"/>
          <w:lang w:val="bg-BG"/>
        </w:rPr>
        <w:t xml:space="preserve">В </w:t>
      </w:r>
      <w:r>
        <w:rPr>
          <w:lang w:val="bg-BG"/>
        </w:rPr>
        <w:t xml:space="preserve">жлезите с вътрешна секреция. </w:t>
      </w:r>
      <w:r>
        <w:rPr>
          <w:b w:val="false"/>
          <w:lang w:val="bg-BG"/>
        </w:rPr>
        <w:t xml:space="preserve">Наблюдават се специфични промени в тимусната жлеза, в епифизата, хипофизата, щитовидната жлеза, паращитовидните жлези, надбъбречните жлези, задстомашната жлеза (панкреаса), мъжките и женските полови жлези и пр. С напредването на възрастта целият инсуларен апарат на организма на човека търпи сложни промени. Атрофията на панкреаса често пъти води до възникването на захарен диабет. Мъжките полови жлези търпят по-бавни инволютивни промени в сравнение с женските.Количествените промени на половите хормони у жената са най-силно изразени по време на климакса. </w:t>
      </w:r>
    </w:p>
    <w:p>
      <w:pPr>
        <w:pStyle w:val="Heading2"/>
        <w:rPr/>
      </w:pPr>
      <w:bookmarkStart w:id="11" w:name="__RefHeading___Toc89859672"/>
      <w:bookmarkEnd w:id="11"/>
      <w:r>
        <w:rPr/>
        <w:t>3.3. По-важни теории за стареенето</w:t>
      </w:r>
    </w:p>
    <w:p>
      <w:pPr>
        <w:pStyle w:val="Heading3"/>
        <w:jc w:val="both"/>
        <w:rPr/>
      </w:pPr>
      <w:r>
        <w:rPr>
          <w:b w:val="false"/>
          <w:lang w:val="bg-BG"/>
        </w:rPr>
        <w:t>Независимо от многобройните опити да се разкрият интимните механизми на стареенето и до днес все още няма единна общоприета теория. Разнообразните  хипотези, които разглеждат едни или други страни на този изключително сложен и до степен все още “загадъчен” процес, безспорно могат да допринесат за изграждането на бъдещата комплексна теория (вж. 12, с. 62 и сл.). При това трябва да се подчертае, че много от опитите за обясняване на стареенето, правени в края на ХІХ и през ХХ век, днес имат само историческо значение. Основният им недостатък е, че се обръща внимание само на едни или други страни на този процес, без да се разглежда отчита комплексното действие на  генетичните и биосоциалните фактори.</w:t>
      </w:r>
    </w:p>
    <w:p>
      <w:pPr>
        <w:pStyle w:val="Heading3"/>
        <w:jc w:val="both"/>
        <w:rPr/>
      </w:pPr>
      <w:r>
        <w:rPr>
          <w:b w:val="false"/>
          <w:lang w:val="bg-BG"/>
        </w:rPr>
        <w:t>“</w:t>
      </w:r>
      <w:r>
        <w:rPr>
          <w:b w:val="false"/>
          <w:lang w:val="bg-BG"/>
        </w:rPr>
        <w:t>Теориите за стареенето в една или друга степен отразяват господстващите в дадено време направления на биологическата мисъл… Цялата мрежа от теории и хипотези за стареенето носи печата на формирането на геронтологията, в този смисъл, че не излиза извън пределите на биологическото изследване… Нейният прогрес до последните десетилетия е свързан главно с бурното развитие на</w:t>
      </w:r>
      <w:r>
        <w:rPr>
          <w:lang w:val="bg-BG"/>
        </w:rPr>
        <w:t xml:space="preserve"> </w:t>
      </w:r>
      <w:r>
        <w:rPr>
          <w:b w:val="false"/>
          <w:lang w:val="bg-BG"/>
        </w:rPr>
        <w:t xml:space="preserve">биологията, с интензивните морфофизиологични и биохимични търсения, позволяващи да се разберат много закономерности на стареенето на организма… Съвременният етап на развитие на геронтологията може да бъде охарактеризиран като преддверие за създаване на единна теория за стареенето…Една от предпоставките за нейното възникване е съпоставянето на многочислените разделени гледища за механизмите и процеса на стареенето…Неизбежно условие е комплексното изучаване на процесите на стареенето и диалектическият синтез на получените данни, неговият философски (методологически) и социологически анализ…По-нататъшният прогрес на геронтологията е възможен само на базата на обединяване на резултатите от анализа, постигнати от естествените и хуманитарните науки с концептуален синтез, който ще позволи да бъде създадена единна теория за стареенето на човека…” (25,с. 141).  В обобщен план могат да бъдат обособени, макар и с известна условност, следните по-важни теории за стареенето (36 и др.): </w:t>
      </w:r>
    </w:p>
    <w:p>
      <w:pPr>
        <w:pStyle w:val="Heading3"/>
        <w:numPr>
          <w:ilvl w:val="0"/>
          <w:numId w:val="24"/>
        </w:numPr>
        <w:jc w:val="both"/>
        <w:rPr/>
      </w:pPr>
      <w:r>
        <w:rPr>
          <w:lang w:val="bg-BG"/>
        </w:rPr>
        <w:t>Теорията за изхабяването</w:t>
      </w:r>
      <w:r>
        <w:rPr>
          <w:b w:val="false"/>
          <w:lang w:val="bg-BG"/>
        </w:rPr>
        <w:t xml:space="preserve">. Според привържениците на тази теория (К. </w:t>
      </w:r>
      <w:r>
        <w:rPr>
          <w:lang w:val="bg-BG"/>
        </w:rPr>
        <w:t>Мопа,</w:t>
      </w:r>
      <w:r>
        <w:rPr>
          <w:b w:val="false"/>
          <w:lang w:val="bg-BG"/>
        </w:rPr>
        <w:t xml:space="preserve"> Р. </w:t>
      </w:r>
      <w:r>
        <w:rPr>
          <w:lang w:val="bg-BG"/>
        </w:rPr>
        <w:t>Хертвиг</w:t>
      </w:r>
      <w:r>
        <w:rPr>
          <w:b w:val="false"/>
          <w:lang w:val="bg-BG"/>
        </w:rPr>
        <w:t xml:space="preserve"> и др.) в резултат на своята дейност във времето и пространството всяка система се изхабява и се приближава към своята гибел. Човекът също механично се износва  по подобие на машините, вследствие на дейността, която извършва. Тази теория пренебрегва качественото различие между живата и мъртвата природа. Това е в същност примитивна, механистична представа за един толкова сложен биологичен процес. Има привърженици на механистичните теории, които обръщат внимание на темпа на изхабяването. Според тях всеки индивид в популацията (съвкупност от индивиди от един вид) има приблизително еднаква продължителност на живот, но в действителните му граници зависят от средната величина на изразходваната енергия (калории) – колкото повече енергия протича в организма за единица време, толкова по-малка е продължителността на живота, и обратно. При ниска температура обмяната и разходът на енергия се забавят, а продължителността на живота нараства.  </w:t>
      </w:r>
    </w:p>
    <w:p>
      <w:pPr>
        <w:pStyle w:val="Heading3"/>
        <w:numPr>
          <w:ilvl w:val="0"/>
          <w:numId w:val="24"/>
        </w:numPr>
        <w:jc w:val="both"/>
        <w:rPr>
          <w:lang w:val="bg-BG"/>
        </w:rPr>
      </w:pPr>
      <w:r>
        <w:rPr>
          <w:lang w:val="bg-BG"/>
        </w:rPr>
        <w:t xml:space="preserve">Теорията за изчерпване на жизнената материя и енергия. </w:t>
      </w:r>
      <w:r>
        <w:rPr>
          <w:b w:val="false"/>
          <w:lang w:val="bg-BG"/>
        </w:rPr>
        <w:t xml:space="preserve">Един от нейните представители е немският учен М. </w:t>
      </w:r>
      <w:r>
        <w:rPr>
          <w:lang w:val="bg-BG"/>
        </w:rPr>
        <w:t xml:space="preserve">Бюргер. </w:t>
      </w:r>
      <w:r>
        <w:rPr>
          <w:b w:val="false"/>
          <w:lang w:val="bg-BG"/>
        </w:rPr>
        <w:t xml:space="preserve">Според него движещ фактор на индивидуалното развитие на живия организъм е нематериалната сила (ентелехия). В онтогенеза количеството и качеството на тази сила се изменят и в крайна сметка зародишът на живота постепенно се изчерпва и настъпва смърт (биоморфоза). Според други представители на тази теория всеки организъм получава по наследство определен “жизнен запас”, “жизнена енергия”(“лебенс енерги”, “x –енерги”), “вещество на младостта” и пр., които с течение на времето се изчерпват. </w:t>
      </w:r>
    </w:p>
    <w:p>
      <w:pPr>
        <w:pStyle w:val="Heading3"/>
        <w:numPr>
          <w:ilvl w:val="0"/>
          <w:numId w:val="24"/>
        </w:numPr>
        <w:jc w:val="both"/>
        <w:rPr>
          <w:lang w:val="bg-BG"/>
        </w:rPr>
      </w:pPr>
      <w:r>
        <w:rPr>
          <w:lang w:val="bg-BG"/>
        </w:rPr>
        <w:t xml:space="preserve">Теорията за непълноценността на соматичните клетки. </w:t>
      </w:r>
      <w:r>
        <w:rPr>
          <w:b w:val="false"/>
          <w:lang w:val="bg-BG"/>
        </w:rPr>
        <w:t xml:space="preserve">Един от нейните представители е </w:t>
      </w:r>
      <w:r>
        <w:rPr>
          <w:lang w:val="bg-BG"/>
        </w:rPr>
        <w:t xml:space="preserve">Вайсман, </w:t>
      </w:r>
      <w:r>
        <w:rPr>
          <w:b w:val="false"/>
          <w:lang w:val="bg-BG"/>
        </w:rPr>
        <w:t xml:space="preserve">който смята, че стареенето и смъртта на многоклетъчните зависят от разделянето на организма на соматична и на полова част. За него най-важна и безсмъртна е половата част, докато соматичната е второстепенна и смъртна. </w:t>
      </w:r>
    </w:p>
    <w:p>
      <w:pPr>
        <w:pStyle w:val="Heading3"/>
        <w:numPr>
          <w:ilvl w:val="0"/>
          <w:numId w:val="24"/>
        </w:numPr>
        <w:jc w:val="both"/>
        <w:rPr>
          <w:lang w:val="bg-BG"/>
        </w:rPr>
      </w:pPr>
      <w:r>
        <w:rPr>
          <w:lang w:val="bg-BG"/>
        </w:rPr>
        <w:t xml:space="preserve">Теорията за дисхармонията между цялото и неговите части. </w:t>
      </w:r>
      <w:r>
        <w:rPr>
          <w:b w:val="false"/>
          <w:lang w:val="bg-BG"/>
        </w:rPr>
        <w:t>Нейни привърженици са Г.</w:t>
      </w:r>
      <w:r>
        <w:rPr>
          <w:lang w:val="bg-BG"/>
        </w:rPr>
        <w:t>Бидер</w:t>
      </w:r>
      <w:r>
        <w:rPr>
          <w:b w:val="false"/>
          <w:lang w:val="bg-BG"/>
        </w:rPr>
        <w:t xml:space="preserve">, А.А. </w:t>
      </w:r>
      <w:r>
        <w:rPr>
          <w:lang w:val="bg-BG"/>
        </w:rPr>
        <w:t>Богданов</w:t>
      </w:r>
      <w:r>
        <w:rPr>
          <w:b w:val="false"/>
          <w:lang w:val="bg-BG"/>
        </w:rPr>
        <w:t xml:space="preserve"> , Е. </w:t>
      </w:r>
      <w:r>
        <w:rPr>
          <w:lang w:val="bg-BG"/>
        </w:rPr>
        <w:t>Бауер</w:t>
      </w:r>
      <w:r>
        <w:rPr>
          <w:b w:val="false"/>
          <w:lang w:val="bg-BG"/>
        </w:rPr>
        <w:t xml:space="preserve"> и др. Според тях най-същественото в живота е висшата хармония между отделните съставки на организма. Основната причина за възникване на стареенето е настъпването на нарушения в подчинението на частите спрямо цялото.</w:t>
      </w:r>
    </w:p>
    <w:p>
      <w:pPr>
        <w:pStyle w:val="Heading3"/>
        <w:numPr>
          <w:ilvl w:val="0"/>
          <w:numId w:val="24"/>
        </w:numPr>
        <w:jc w:val="both"/>
        <w:rPr>
          <w:lang w:val="bg-BG"/>
        </w:rPr>
      </w:pPr>
      <w:r>
        <w:rPr>
          <w:lang w:val="bg-BG"/>
        </w:rPr>
        <w:t xml:space="preserve">Теорията за морфологичната диференциация и специализация при многоклетъчните организми. </w:t>
      </w:r>
      <w:r>
        <w:rPr>
          <w:b w:val="false"/>
          <w:lang w:val="bg-BG"/>
        </w:rPr>
        <w:t xml:space="preserve">Нейни представители са Ш. </w:t>
      </w:r>
      <w:r>
        <w:rPr>
          <w:lang w:val="bg-BG"/>
        </w:rPr>
        <w:t>Майнот</w:t>
      </w:r>
      <w:r>
        <w:rPr>
          <w:b w:val="false"/>
          <w:lang w:val="bg-BG"/>
        </w:rPr>
        <w:t xml:space="preserve">, А. </w:t>
      </w:r>
      <w:r>
        <w:rPr>
          <w:lang w:val="bg-BG"/>
        </w:rPr>
        <w:t>Сабатие</w:t>
      </w:r>
      <w:r>
        <w:rPr>
          <w:b w:val="false"/>
          <w:lang w:val="bg-BG"/>
        </w:rPr>
        <w:t xml:space="preserve">, С. </w:t>
      </w:r>
      <w:r>
        <w:rPr>
          <w:lang w:val="bg-BG"/>
        </w:rPr>
        <w:t xml:space="preserve">Мелников </w:t>
      </w:r>
      <w:r>
        <w:rPr>
          <w:b w:val="false"/>
          <w:lang w:val="bg-BG"/>
        </w:rPr>
        <w:t xml:space="preserve">и др.  Майнот например обособява в процеса на развитието на клетките 2 периода: 1) на нарастване на ядрото и 2) на растеж и диференциация на протоплазмата. Диференциращата се клетка изменя своята структура и функционално се усъвършенства, но този процес води до необратима цитоморфоза, т.е. до дегенерация и смърт. </w:t>
      </w:r>
    </w:p>
    <w:p>
      <w:pPr>
        <w:pStyle w:val="Heading3"/>
        <w:numPr>
          <w:ilvl w:val="0"/>
          <w:numId w:val="24"/>
        </w:numPr>
        <w:jc w:val="both"/>
        <w:rPr/>
      </w:pPr>
      <w:r>
        <w:rPr>
          <w:lang w:val="bg-BG"/>
        </w:rPr>
        <w:t xml:space="preserve">Теорията за нарушените регулации. </w:t>
      </w:r>
      <w:r>
        <w:rPr>
          <w:b w:val="false"/>
          <w:lang w:val="bg-BG"/>
        </w:rPr>
        <w:t xml:space="preserve">Тази теория има многообразни варианти, като например </w:t>
      </w:r>
      <w:r>
        <w:rPr>
          <w:lang w:val="bg-BG"/>
        </w:rPr>
        <w:t>теорията за вътрешните противоречия в клетките</w:t>
      </w:r>
      <w:r>
        <w:rPr>
          <w:b w:val="false"/>
          <w:lang w:val="bg-BG"/>
        </w:rPr>
        <w:t xml:space="preserve"> и </w:t>
      </w:r>
      <w:r>
        <w:rPr>
          <w:lang w:val="bg-BG"/>
        </w:rPr>
        <w:t>нарушената трофика (хранене) на организма</w:t>
      </w:r>
      <w:r>
        <w:rPr>
          <w:b w:val="false"/>
          <w:lang w:val="bg-BG"/>
        </w:rPr>
        <w:t xml:space="preserve"> ( с представители</w:t>
      </w:r>
      <w:r>
        <w:rPr>
          <w:lang w:val="bg-BG"/>
        </w:rPr>
        <w:t xml:space="preserve"> М. Милман и Х. Спенсер), теорията за нарушенията в централната и във вегетативната нервна система (А. Догел), теорията за нарушените функции на жлезите с вътрешна секреция – тимусната, хипофизата, щитовидната жлеза, надбъбреците, половите жлези (А. Шеришевки) и др.  </w:t>
      </w:r>
    </w:p>
    <w:p>
      <w:pPr>
        <w:pStyle w:val="Heading3"/>
        <w:numPr>
          <w:ilvl w:val="0"/>
          <w:numId w:val="24"/>
        </w:numPr>
        <w:jc w:val="both"/>
        <w:rPr>
          <w:lang w:val="bg-BG"/>
        </w:rPr>
      </w:pPr>
      <w:r>
        <w:rPr>
          <w:lang w:val="bg-BG"/>
        </w:rPr>
        <w:t>Теорията за автоинтоксикациите</w:t>
      </w:r>
      <w:r>
        <w:rPr>
          <w:b w:val="false"/>
          <w:lang w:val="bg-BG"/>
        </w:rPr>
        <w:t>.</w:t>
      </w:r>
      <w:r>
        <w:rPr>
          <w:lang w:val="bg-BG"/>
        </w:rPr>
        <w:t xml:space="preserve">  </w:t>
      </w:r>
      <w:r>
        <w:rPr>
          <w:b w:val="false"/>
          <w:lang w:val="bg-BG"/>
        </w:rPr>
        <w:t xml:space="preserve">Най-популярна е автоинтоксикационната теория на И. </w:t>
      </w:r>
      <w:r>
        <w:rPr>
          <w:lang w:val="bg-BG"/>
        </w:rPr>
        <w:t xml:space="preserve">Мечников. </w:t>
      </w:r>
      <w:r>
        <w:rPr>
          <w:b w:val="false"/>
          <w:lang w:val="bg-BG"/>
        </w:rPr>
        <w:t xml:space="preserve">Според него в дебелите черва има огромен брой микроорганизми: при белтъчното гниене в червата се образуват крайни продукти от рода на токсичните амини. Последните са главна причина за стареенето на тъканите. При това колкото са по-дълги дебелите черва, толкова по-кратък е животът. Птиците, лишени от дебели черва, имат бедна чревна флора и затова живеят дълго (лебедът –  до 120 години, соколът – до 170 години). Има обаче и животни, които нямат дебели черва (риби, амфибии и др.), но не живеят дълго. </w:t>
      </w:r>
    </w:p>
    <w:p>
      <w:pPr>
        <w:pStyle w:val="Heading3"/>
        <w:numPr>
          <w:ilvl w:val="0"/>
          <w:numId w:val="24"/>
        </w:numPr>
        <w:jc w:val="both"/>
        <w:rPr>
          <w:lang w:val="bg-BG"/>
        </w:rPr>
      </w:pPr>
      <w:r>
        <w:rPr>
          <w:lang w:val="bg-BG"/>
        </w:rPr>
        <w:t xml:space="preserve">Теорията за старческата дисхармония на съединителната тъкан. </w:t>
      </w:r>
      <w:r>
        <w:rPr>
          <w:b w:val="false"/>
          <w:lang w:val="bg-BG"/>
        </w:rPr>
        <w:t xml:space="preserve">Един от нейните представители е А.А. </w:t>
      </w:r>
      <w:r>
        <w:rPr>
          <w:lang w:val="bg-BG"/>
        </w:rPr>
        <w:t xml:space="preserve">Богомолец. </w:t>
      </w:r>
      <w:r>
        <w:rPr>
          <w:b w:val="false"/>
          <w:lang w:val="bg-BG"/>
        </w:rPr>
        <w:t xml:space="preserve">Според него процесите на стареенето настъпват поради изтощение на съединителната тъкан. Той абсолютизира значението й и подценява сенилните промени в другите органи и системи. </w:t>
      </w:r>
    </w:p>
    <w:p>
      <w:pPr>
        <w:pStyle w:val="Heading3"/>
        <w:numPr>
          <w:ilvl w:val="0"/>
          <w:numId w:val="24"/>
        </w:numPr>
        <w:jc w:val="both"/>
        <w:rPr>
          <w:lang w:val="bg-BG"/>
        </w:rPr>
      </w:pPr>
      <w:r>
        <w:rPr>
          <w:lang w:val="bg-BG"/>
        </w:rPr>
        <w:t xml:space="preserve">Колоидохимичната теория. </w:t>
      </w:r>
      <w:r>
        <w:rPr>
          <w:b w:val="false"/>
          <w:lang w:val="bg-BG"/>
        </w:rPr>
        <w:t>Много от привържениците на тази теория (А</w:t>
      </w:r>
      <w:r>
        <w:rPr>
          <w:lang w:val="bg-BG"/>
        </w:rPr>
        <w:t xml:space="preserve">. Пикте, </w:t>
      </w:r>
      <w:r>
        <w:rPr>
          <w:b w:val="false"/>
          <w:lang w:val="bg-BG"/>
        </w:rPr>
        <w:t>В</w:t>
      </w:r>
      <w:r>
        <w:rPr>
          <w:lang w:val="bg-BG"/>
        </w:rPr>
        <w:t xml:space="preserve">. Ружичка, </w:t>
      </w:r>
      <w:r>
        <w:rPr>
          <w:b w:val="false"/>
          <w:lang w:val="bg-BG"/>
        </w:rPr>
        <w:t>А</w:t>
      </w:r>
      <w:r>
        <w:rPr>
          <w:lang w:val="bg-BG"/>
        </w:rPr>
        <w:t xml:space="preserve">. Люмиер </w:t>
      </w:r>
      <w:r>
        <w:rPr>
          <w:b w:val="false"/>
          <w:lang w:val="bg-BG"/>
        </w:rPr>
        <w:t xml:space="preserve">и др.) обясняват стареенето с промяната в състава и структурата на колоидните разтвори в клетката. Същността на стареенето се свежда до съзряване и депресия в структурата на колоидите в клетката. </w:t>
      </w:r>
    </w:p>
    <w:p>
      <w:pPr>
        <w:pStyle w:val="Heading3"/>
        <w:numPr>
          <w:ilvl w:val="0"/>
          <w:numId w:val="24"/>
        </w:numPr>
        <w:jc w:val="both"/>
        <w:rPr>
          <w:lang w:val="bg-BG"/>
        </w:rPr>
      </w:pPr>
      <w:r>
        <w:rPr>
          <w:lang w:val="bg-BG"/>
        </w:rPr>
        <w:t>Теорията за генетичната предиспозиция</w:t>
      </w:r>
      <w:r>
        <w:rPr>
          <w:b w:val="false"/>
          <w:lang w:val="bg-BG"/>
        </w:rPr>
        <w:t xml:space="preserve">. Нейните привърженици (А. </w:t>
      </w:r>
      <w:r>
        <w:rPr>
          <w:lang w:val="bg-BG"/>
        </w:rPr>
        <w:t>Нагорни</w:t>
      </w:r>
      <w:r>
        <w:rPr>
          <w:b w:val="false"/>
          <w:lang w:val="bg-BG"/>
        </w:rPr>
        <w:t xml:space="preserve">, В. </w:t>
      </w:r>
      <w:r>
        <w:rPr>
          <w:lang w:val="bg-BG"/>
        </w:rPr>
        <w:t>Никитин</w:t>
      </w:r>
      <w:r>
        <w:rPr>
          <w:b w:val="false"/>
          <w:lang w:val="bg-BG"/>
        </w:rPr>
        <w:t xml:space="preserve"> и др.) акцентират върху нарушения белтъчен синтез поради “грешки” в кода на ДНК и РНК и нарушение на ферментните системи в цикъла трикарбонови киселини. В основата на стареенето се смята нарушената регулация в синтеза на клетъчните белтъци посредством изчерпване на свободните и свързаните аминокиселини.</w:t>
      </w:r>
    </w:p>
    <w:p>
      <w:pPr>
        <w:pStyle w:val="Heading3"/>
        <w:numPr>
          <w:ilvl w:val="0"/>
          <w:numId w:val="24"/>
        </w:numPr>
        <w:jc w:val="both"/>
        <w:rPr>
          <w:lang w:val="bg-BG"/>
        </w:rPr>
      </w:pPr>
      <w:r>
        <w:rPr>
          <w:lang w:val="bg-BG"/>
        </w:rPr>
        <w:t xml:space="preserve">Молекулярната теория на стареенето. </w:t>
      </w:r>
      <w:r>
        <w:rPr>
          <w:b w:val="false"/>
          <w:lang w:val="bg-BG"/>
        </w:rPr>
        <w:t xml:space="preserve">Според нейните представители (Ф.Д. </w:t>
      </w:r>
      <w:r>
        <w:rPr>
          <w:lang w:val="bg-BG"/>
        </w:rPr>
        <w:t>Верзар</w:t>
      </w:r>
      <w:r>
        <w:rPr>
          <w:b w:val="false"/>
          <w:lang w:val="bg-BG"/>
        </w:rPr>
        <w:t xml:space="preserve">, И. </w:t>
      </w:r>
      <w:r>
        <w:rPr>
          <w:lang w:val="bg-BG"/>
        </w:rPr>
        <w:t>Бьоркстен</w:t>
      </w:r>
      <w:r>
        <w:rPr>
          <w:b w:val="false"/>
          <w:lang w:val="bg-BG"/>
        </w:rPr>
        <w:t xml:space="preserve"> и др.) образуването на “кръстосани връзки” между гигантските молекули (белтъци, нуклеинови киселини)  е неизбежно във всички клетки. С напредването на възрастта възникват “тежки”, “инертни”, неразтворими белтъци, които блокират вътреклетъчните и извънклетъчните пространства. Нарушават се възможностите за един нормален обмен, в резултат на което настъпват процеси на стареене. </w:t>
      </w:r>
    </w:p>
    <w:p>
      <w:pPr>
        <w:pStyle w:val="Heading3"/>
        <w:numPr>
          <w:ilvl w:val="0"/>
          <w:numId w:val="24"/>
        </w:numPr>
        <w:jc w:val="both"/>
        <w:rPr>
          <w:lang w:val="bg-BG"/>
        </w:rPr>
      </w:pPr>
      <w:r>
        <w:rPr>
          <w:lang w:val="bg-BG"/>
        </w:rPr>
        <w:t>Теорията за нарастващата хипоксия на тъканите</w:t>
      </w:r>
      <w:r>
        <w:rPr>
          <w:b w:val="false"/>
          <w:lang w:val="bg-BG"/>
        </w:rPr>
        <w:t xml:space="preserve">. Нейни представители са </w:t>
      </w:r>
      <w:r>
        <w:rPr>
          <w:lang w:val="bg-BG"/>
        </w:rPr>
        <w:t>Чеботарев,   Гришко, Иванов</w:t>
      </w:r>
      <w:r>
        <w:rPr>
          <w:b w:val="false"/>
          <w:lang w:val="bg-BG"/>
        </w:rPr>
        <w:t xml:space="preserve"> и др. Знае се, че с напредването на възрастта газообменът и основната обмяна намаляват. Това намаление в старческа възраст е от 25% до 50%, като при жените е по-подчертано. Жизнената вместимост също намалява, но това не довежда до затруднения в дишането, тъй като газообменът се изравнява за сметка на вдишването и издишването. Поради постепенно снижаване на окислителните процеси в тъканите намалява и нуждата от кислород. Това се приема за един адаптивен феномен, адекватен на специфичните закони на основната обмяна на веществата при стария човек. </w:t>
      </w:r>
      <w:r>
        <w:rPr>
          <w:lang w:val="bg-BG"/>
        </w:rPr>
        <w:t>Фролкис</w:t>
      </w:r>
      <w:r>
        <w:rPr>
          <w:b w:val="false"/>
          <w:lang w:val="bg-BG"/>
        </w:rPr>
        <w:t xml:space="preserve"> например експериментално доказва, че в старческа възраст клетъчното дишане автоматично освобождава процесите на гликозата вследствие натрупване на АДФ  и неорганичен фосфат в тъканите. </w:t>
      </w:r>
    </w:p>
    <w:p>
      <w:pPr>
        <w:pStyle w:val="Heading3"/>
        <w:numPr>
          <w:ilvl w:val="0"/>
          <w:numId w:val="24"/>
        </w:numPr>
        <w:jc w:val="both"/>
        <w:rPr>
          <w:lang w:val="bg-BG"/>
        </w:rPr>
      </w:pPr>
      <w:r>
        <w:rPr>
          <w:lang w:val="bg-BG"/>
        </w:rPr>
        <w:t xml:space="preserve">Адаптационно-регулаторната теория </w:t>
      </w:r>
      <w:r>
        <w:rPr>
          <w:b w:val="false"/>
          <w:lang w:val="bg-BG"/>
        </w:rPr>
        <w:t xml:space="preserve">( В.В. </w:t>
      </w:r>
      <w:r>
        <w:rPr>
          <w:lang w:val="bg-BG"/>
        </w:rPr>
        <w:t>Фролкис</w:t>
      </w:r>
      <w:r>
        <w:rPr>
          <w:b w:val="false"/>
          <w:lang w:val="bg-BG"/>
        </w:rPr>
        <w:t xml:space="preserve"> и др.)  Тя приема, че стареенето е разрушителен процес, който води до намаляване на адаптационните възможности на организма. Разграничават се генотипни и фенотипни механизми за дълъг живот. Първите са наследствено програмирани, а вторите възникват в хода на живота. Чрез механизмите за саморегулация се създава възможност  в популацията за постепенно увеличаване продължителността  на живота, като за това оказват влияние и генотипните, и фенотипните механизми. </w:t>
      </w:r>
    </w:p>
    <w:p>
      <w:pPr>
        <w:pStyle w:val="Heading3"/>
        <w:numPr>
          <w:ilvl w:val="0"/>
          <w:numId w:val="24"/>
        </w:numPr>
        <w:jc w:val="both"/>
        <w:rPr>
          <w:lang w:val="bg-BG"/>
        </w:rPr>
      </w:pPr>
      <w:r>
        <w:rPr>
          <w:lang w:val="bg-BG"/>
        </w:rPr>
        <w:t xml:space="preserve">Теорията за антиоксидантите </w:t>
      </w:r>
      <w:r>
        <w:rPr>
          <w:b w:val="false"/>
          <w:lang w:val="bg-BG"/>
        </w:rPr>
        <w:t xml:space="preserve">(С. </w:t>
      </w:r>
      <w:r>
        <w:rPr>
          <w:lang w:val="bg-BG"/>
        </w:rPr>
        <w:t>Кури</w:t>
      </w:r>
      <w:r>
        <w:rPr>
          <w:b w:val="false"/>
          <w:lang w:val="bg-BG"/>
        </w:rPr>
        <w:t xml:space="preserve"> и др.). Привържениците на тази теория проучват влиянието на различни видове антиоксиданти, които оказват влияние върху по-голямата продължителност на живота.</w:t>
      </w:r>
    </w:p>
    <w:p>
      <w:pPr>
        <w:pStyle w:val="Heading3"/>
        <w:numPr>
          <w:ilvl w:val="0"/>
          <w:numId w:val="24"/>
        </w:numPr>
        <w:jc w:val="both"/>
        <w:rPr/>
      </w:pPr>
      <w:r>
        <w:rPr>
          <w:lang w:val="bg-BG"/>
        </w:rPr>
        <w:t xml:space="preserve">Лизозомалната хипотеза  (Дедюв и др.). </w:t>
      </w:r>
      <w:r>
        <w:rPr>
          <w:b w:val="false"/>
          <w:lang w:val="bg-BG"/>
        </w:rPr>
        <w:t>Тази хипотеза по своето съдържание е много близка до антиоксидантната теория. Дедюв например разглежда патологичното остаряване като следствие на биологични,</w:t>
      </w:r>
      <w:r>
        <w:rPr>
          <w:lang w:val="bg-BG"/>
        </w:rPr>
        <w:t xml:space="preserve"> </w:t>
      </w:r>
      <w:r>
        <w:rPr>
          <w:b w:val="false"/>
          <w:lang w:val="bg-BG"/>
        </w:rPr>
        <w:t xml:space="preserve"> физически и</w:t>
      </w:r>
      <w:r>
        <w:rPr>
          <w:lang w:val="bg-BG"/>
        </w:rPr>
        <w:t xml:space="preserve"> </w:t>
      </w:r>
      <w:r>
        <w:rPr>
          <w:b w:val="false"/>
          <w:lang w:val="bg-BG"/>
        </w:rPr>
        <w:t xml:space="preserve">химически фактори, които довеждат до снижена стабилност на лизозомните  мембрани. Това води до освобождаване на мощни хидролитични ферменти, които постепенно увреждат клетките. </w:t>
      </w:r>
    </w:p>
    <w:p>
      <w:pPr>
        <w:pStyle w:val="Heading3"/>
        <w:numPr>
          <w:ilvl w:val="0"/>
          <w:numId w:val="24"/>
        </w:numPr>
        <w:jc w:val="both"/>
        <w:rPr/>
      </w:pPr>
      <w:r>
        <w:rPr>
          <w:lang w:val="bg-BG"/>
        </w:rPr>
        <w:t xml:space="preserve">Свободно-радикаловата теория </w:t>
      </w:r>
      <w:r>
        <w:rPr>
          <w:b w:val="false"/>
          <w:lang w:val="bg-BG"/>
        </w:rPr>
        <w:t xml:space="preserve">(Н.М. </w:t>
      </w:r>
      <w:r>
        <w:rPr>
          <w:lang w:val="bg-BG"/>
        </w:rPr>
        <w:t>Эмануел</w:t>
      </w:r>
      <w:r>
        <w:rPr>
          <w:b w:val="false"/>
          <w:lang w:val="bg-BG"/>
        </w:rPr>
        <w:t xml:space="preserve">  и Д.Ж. </w:t>
      </w:r>
      <w:r>
        <w:rPr>
          <w:lang w:val="bg-BG"/>
        </w:rPr>
        <w:t>Харман</w:t>
      </w:r>
      <w:r>
        <w:rPr>
          <w:b w:val="false"/>
          <w:lang w:val="bg-BG"/>
        </w:rPr>
        <w:t>). С помощта на герапротектори могат да се регулират и контролират окислителните процеси в организма и по този начин да се минимизира вредното влияние на свободните радикали върху клетките.</w:t>
      </w:r>
    </w:p>
    <w:p>
      <w:pPr>
        <w:pStyle w:val="Heading3"/>
        <w:numPr>
          <w:ilvl w:val="0"/>
          <w:numId w:val="24"/>
        </w:numPr>
        <w:jc w:val="both"/>
        <w:rPr/>
      </w:pPr>
      <w:r>
        <w:rPr>
          <w:lang w:val="bg-BG"/>
        </w:rPr>
        <w:t>Теорията за ролята на наследствения код</w:t>
      </w:r>
      <w:r>
        <w:rPr>
          <w:b w:val="false"/>
          <w:lang w:val="bg-BG"/>
        </w:rPr>
        <w:t xml:space="preserve"> ( Г. </w:t>
      </w:r>
      <w:r>
        <w:rPr>
          <w:lang w:val="bg-BG"/>
        </w:rPr>
        <w:t>Стойнев</w:t>
      </w:r>
      <w:r>
        <w:rPr>
          <w:b w:val="false"/>
          <w:lang w:val="bg-BG"/>
        </w:rPr>
        <w:t xml:space="preserve">, А. </w:t>
      </w:r>
      <w:r>
        <w:rPr>
          <w:lang w:val="bg-BG"/>
        </w:rPr>
        <w:t>Хаджихристев</w:t>
      </w:r>
      <w:r>
        <w:rPr>
          <w:b w:val="false"/>
          <w:lang w:val="bg-BG"/>
        </w:rPr>
        <w:t xml:space="preserve">  и др.). Привържениците на тази теория обясняват механизмите на стареенето преди всичко с ролята на наследствени фактори. Др. Матеев обаче смята, че преждевременното стареене е резултат на инактивитет. Снижените процеси на самообновяване според него са следствие на намаление или липса на функционално натоварване. </w:t>
      </w:r>
    </w:p>
    <w:p>
      <w:pPr>
        <w:pStyle w:val="Heading3"/>
        <w:ind w:left="60" w:firstLine="567"/>
        <w:jc w:val="both"/>
        <w:rPr/>
      </w:pPr>
      <w:r>
        <w:rPr>
          <w:b w:val="false"/>
          <w:lang w:val="bg-BG"/>
        </w:rPr>
        <w:t xml:space="preserve">Съществуват и </w:t>
      </w:r>
      <w:r>
        <w:rPr>
          <w:lang w:val="bg-BG"/>
        </w:rPr>
        <w:t>концепции</w:t>
      </w:r>
      <w:r>
        <w:rPr>
          <w:b w:val="false"/>
          <w:lang w:val="bg-BG"/>
        </w:rPr>
        <w:t xml:space="preserve">, които обясняват стареенето с въздействието на биофизични фактори върху </w:t>
      </w:r>
      <w:r>
        <w:rPr>
          <w:lang w:val="bg-BG"/>
        </w:rPr>
        <w:t>генетичния апарат</w:t>
      </w:r>
      <w:r>
        <w:rPr>
          <w:b w:val="false"/>
          <w:lang w:val="bg-BG"/>
        </w:rPr>
        <w:t xml:space="preserve"> на клетката и с натрупването на </w:t>
      </w:r>
      <w:r>
        <w:rPr>
          <w:lang w:val="bg-BG"/>
        </w:rPr>
        <w:t>радиоактивни вещества</w:t>
      </w:r>
      <w:r>
        <w:rPr>
          <w:b w:val="false"/>
          <w:lang w:val="bg-BG"/>
        </w:rPr>
        <w:t xml:space="preserve">. Съществуващият твърде голям брой теории и концепции обикновено се групират по различни признаци. Някои автори разграничават например </w:t>
      </w:r>
      <w:r>
        <w:rPr>
          <w:lang w:val="bg-BG"/>
        </w:rPr>
        <w:t>теории за обяснение на основните механизми на</w:t>
      </w:r>
      <w:r>
        <w:rPr>
          <w:b w:val="false"/>
          <w:lang w:val="bg-BG"/>
        </w:rPr>
        <w:t xml:space="preserve"> </w:t>
      </w:r>
      <w:r>
        <w:rPr>
          <w:lang w:val="bg-BG"/>
        </w:rPr>
        <w:t>клетъчното остаряване</w:t>
      </w:r>
      <w:r>
        <w:rPr>
          <w:b w:val="false"/>
          <w:lang w:val="bg-BG"/>
        </w:rPr>
        <w:t xml:space="preserve">. Тези теории се разделят на: </w:t>
      </w:r>
    </w:p>
    <w:p>
      <w:pPr>
        <w:pStyle w:val="Heading3"/>
        <w:numPr>
          <w:ilvl w:val="0"/>
          <w:numId w:val="8"/>
        </w:numPr>
        <w:jc w:val="both"/>
        <w:rPr>
          <w:lang w:val="bg-BG"/>
        </w:rPr>
      </w:pPr>
      <w:r>
        <w:rPr>
          <w:lang w:val="bg-BG"/>
        </w:rPr>
        <w:t xml:space="preserve">теории, </w:t>
      </w:r>
      <w:r>
        <w:rPr>
          <w:b w:val="false"/>
          <w:lang w:val="bg-BG"/>
        </w:rPr>
        <w:t>обясняващи процеса на остаряването с денатурация (загуба на естествените качества) на клетъчните структури</w:t>
      </w:r>
      <w:r>
        <w:rPr>
          <w:lang w:val="bg-BG"/>
        </w:rPr>
        <w:t>;</w:t>
      </w:r>
      <w:r>
        <w:rPr>
          <w:b w:val="false"/>
          <w:lang w:val="bg-BG"/>
        </w:rPr>
        <w:t xml:space="preserve"> </w:t>
      </w:r>
    </w:p>
    <w:p>
      <w:pPr>
        <w:pStyle w:val="Heading3"/>
        <w:numPr>
          <w:ilvl w:val="0"/>
          <w:numId w:val="8"/>
        </w:numPr>
        <w:jc w:val="both"/>
        <w:rPr/>
      </w:pPr>
      <w:r>
        <w:rPr>
          <w:lang w:val="bg-BG"/>
        </w:rPr>
        <w:t xml:space="preserve">теории, </w:t>
      </w:r>
      <w:r>
        <w:rPr>
          <w:b w:val="false"/>
          <w:lang w:val="bg-BG"/>
        </w:rPr>
        <w:t>обясняващи процеса на остаряването с нарушаване на механизмите на наследственото кодиране в резултат от действието на редица увреждащи фактори като рентгенови лъчи, космически и земни излъчвания, свободни високореактивни  химически групи и пр.;</w:t>
      </w:r>
    </w:p>
    <w:p>
      <w:pPr>
        <w:pStyle w:val="Heading3"/>
        <w:numPr>
          <w:ilvl w:val="0"/>
          <w:numId w:val="8"/>
        </w:numPr>
        <w:jc w:val="both"/>
        <w:rPr>
          <w:lang w:val="bg-BG"/>
        </w:rPr>
      </w:pPr>
      <w:r>
        <w:rPr>
          <w:lang w:val="bg-BG"/>
        </w:rPr>
        <w:t xml:space="preserve">теории, </w:t>
      </w:r>
      <w:r>
        <w:rPr>
          <w:b w:val="false"/>
          <w:lang w:val="bg-BG"/>
        </w:rPr>
        <w:t xml:space="preserve">обясняващи процеса на клетъчното стареене като резултат от нарушеното състояние на стабилност; </w:t>
      </w:r>
    </w:p>
    <w:p>
      <w:pPr>
        <w:pStyle w:val="Heading3"/>
        <w:numPr>
          <w:ilvl w:val="0"/>
          <w:numId w:val="8"/>
        </w:numPr>
        <w:jc w:val="both"/>
        <w:rPr>
          <w:lang w:val="bg-BG"/>
        </w:rPr>
      </w:pPr>
      <w:r>
        <w:rPr>
          <w:lang w:val="bg-BG"/>
        </w:rPr>
        <w:t>теории</w:t>
      </w:r>
      <w:r>
        <w:rPr>
          <w:b w:val="false"/>
          <w:lang w:val="bg-BG"/>
        </w:rPr>
        <w:t xml:space="preserve">, обясняващи клетъчното остаряване като резултат на процесите на клетъчното усъвършенстване и диференциация, което води до силно ограничена делителна способност на клетките и до невъзможност те да се обновяват. </w:t>
      </w:r>
    </w:p>
    <w:p>
      <w:pPr>
        <w:pStyle w:val="Heading3"/>
        <w:jc w:val="both"/>
        <w:rPr/>
      </w:pPr>
      <w:r>
        <w:rPr>
          <w:b w:val="false"/>
          <w:lang w:val="bg-BG"/>
        </w:rPr>
        <w:t xml:space="preserve">Друга голяма група </w:t>
      </w:r>
      <w:r>
        <w:rPr>
          <w:lang w:val="bg-BG"/>
        </w:rPr>
        <w:t>теории</w:t>
      </w:r>
      <w:r>
        <w:rPr>
          <w:b w:val="false"/>
          <w:lang w:val="bg-BG"/>
        </w:rPr>
        <w:t xml:space="preserve"> се отнасят до </w:t>
      </w:r>
      <w:r>
        <w:rPr>
          <w:lang w:val="bg-BG"/>
        </w:rPr>
        <w:t>остаряването на целия организъм</w:t>
      </w:r>
      <w:r>
        <w:rPr>
          <w:b w:val="false"/>
          <w:lang w:val="bg-BG"/>
        </w:rPr>
        <w:t>. Към тях се отнасят:</w:t>
      </w:r>
    </w:p>
    <w:p>
      <w:pPr>
        <w:pStyle w:val="Heading3"/>
        <w:numPr>
          <w:ilvl w:val="0"/>
          <w:numId w:val="76"/>
        </w:numPr>
        <w:jc w:val="both"/>
        <w:rPr/>
      </w:pPr>
      <w:r>
        <w:rPr>
          <w:lang w:val="bg-BG"/>
        </w:rPr>
        <w:t>васкуларната теория</w:t>
      </w:r>
      <w:r>
        <w:rPr>
          <w:b w:val="false"/>
          <w:lang w:val="bg-BG"/>
        </w:rPr>
        <w:t xml:space="preserve"> – тя разглежда стареенето като резултат от инволютивни и патологични промени на кръвоносните съдове;</w:t>
      </w:r>
    </w:p>
    <w:p>
      <w:pPr>
        <w:pStyle w:val="Normal"/>
        <w:numPr>
          <w:ilvl w:val="0"/>
          <w:numId w:val="76"/>
        </w:numPr>
        <w:spacing w:lineRule="auto" w:line="240"/>
        <w:rPr/>
      </w:pPr>
      <w:r>
        <w:rPr>
          <w:b/>
        </w:rPr>
        <w:t>хипоксичната теория</w:t>
      </w:r>
      <w:r>
        <w:rPr/>
        <w:t xml:space="preserve"> – един от вариантите на химичните теории за обясняване на механизмите на остаряването; </w:t>
      </w:r>
    </w:p>
    <w:p>
      <w:pPr>
        <w:pStyle w:val="Normal"/>
        <w:numPr>
          <w:ilvl w:val="0"/>
          <w:numId w:val="76"/>
        </w:numPr>
        <w:spacing w:lineRule="auto" w:line="240"/>
        <w:rPr/>
      </w:pPr>
      <w:r>
        <w:rPr>
          <w:b/>
        </w:rPr>
        <w:t xml:space="preserve">еднокринните теории, </w:t>
      </w:r>
      <w:r>
        <w:rPr/>
        <w:t xml:space="preserve">които обясняват стареенето с различни нарушения в жлезите с вътрешна секреция; </w:t>
      </w:r>
    </w:p>
    <w:p>
      <w:pPr>
        <w:pStyle w:val="Normal"/>
        <w:numPr>
          <w:ilvl w:val="0"/>
          <w:numId w:val="76"/>
        </w:numPr>
        <w:spacing w:lineRule="auto" w:line="240"/>
        <w:rPr/>
      </w:pPr>
      <w:r>
        <w:rPr>
          <w:b/>
        </w:rPr>
        <w:t xml:space="preserve">неврогенна теория, </w:t>
      </w:r>
      <w:r>
        <w:rPr/>
        <w:t>която разглежда стареенето  като резултат</w:t>
      </w:r>
      <w:r>
        <w:rPr>
          <w:b/>
        </w:rPr>
        <w:t xml:space="preserve"> </w:t>
      </w:r>
      <w:r>
        <w:rPr/>
        <w:t>от промените</w:t>
      </w:r>
      <w:r>
        <w:rPr>
          <w:b/>
        </w:rPr>
        <w:t xml:space="preserve"> </w:t>
      </w:r>
      <w:r>
        <w:rPr/>
        <w:t>в нервната система и нервната регулация</w:t>
      </w:r>
      <w:r>
        <w:rPr>
          <w:b/>
        </w:rPr>
        <w:t xml:space="preserve">; </w:t>
      </w:r>
    </w:p>
    <w:p>
      <w:pPr>
        <w:pStyle w:val="Normal"/>
        <w:numPr>
          <w:ilvl w:val="0"/>
          <w:numId w:val="76"/>
        </w:numPr>
        <w:spacing w:lineRule="auto" w:line="240"/>
        <w:rPr/>
      </w:pPr>
      <w:r>
        <w:rPr>
          <w:b/>
        </w:rPr>
        <w:t xml:space="preserve">стресовата теория, </w:t>
      </w:r>
      <w:r>
        <w:rPr/>
        <w:t>която обяснява стареенето като резултат от действието</w:t>
      </w:r>
      <w:r>
        <w:rPr>
          <w:b/>
        </w:rPr>
        <w:t xml:space="preserve"> </w:t>
      </w:r>
      <w:r>
        <w:rPr/>
        <w:t>на различни стресови фактори; и пр.</w:t>
      </w:r>
    </w:p>
    <w:p>
      <w:pPr>
        <w:pStyle w:val="Heading3"/>
        <w:jc w:val="both"/>
        <w:rPr/>
      </w:pPr>
      <w:r>
        <w:rPr>
          <w:b w:val="false"/>
          <w:lang w:val="bg-BG"/>
        </w:rPr>
        <w:t>“</w:t>
      </w:r>
      <w:r>
        <w:rPr>
          <w:b w:val="false"/>
          <w:lang w:val="bg-BG"/>
        </w:rPr>
        <w:t xml:space="preserve">Списъкът” на посочените теории би могло да бъде продължен. Може да се каже обаче, че нито една от тези теории не дава задоволителен отговор на твърде сложния въпрос: “В крайна сметка коя е причината или кои са причините за стареенето?” Ако е от самоотравяне, то защо се самоотравя организмът? Ако е от износване, то защо се износва той? Ако е от склероза на кръвоносните съдове,  то защо настъпва тази склероза? Ако е от атрофия на жлезите с вътрешна секреция, то коя е причината за това, и пр.?  Уникалността на човека е в това, че неговото развитие е подчинено и на природни, и на социални фактори и условия. Ето защо процесите на стареенето не могат да бъдат добре разкрити, ако не отчита преди всичко комплексното влияние на биологическите и социалните фактори и условия, тяхното единство и изключително сложно взаимодействие. Природата на стареенето може да бъде разбрана само ако винаги се има пред вид  съвкупността от дългосрочни поведенчески, физиологически и биохимически изменения, обуславяни от въздействието на обкръжаващата среда, от целия комплекс от изменения, които образуват неразривно единство. Известно е, че, от една страна,  поведенческите характеристики, наред с физиологическите, анатомическите и биохимическите, твърде много се регулират генетически, а от друга, поведението се формира в резултат на изградените и постоянно изграждащите се навици и привички, зависи от системата от роли, които всеки човек изпълнява през своя живот. С други думи, учението за старостта не бива да се ограничава само с разкриването на механизмите на развитието на едни или органи, системи или процеси, извършващи се в човешкия организъм, а трябва да разглежда стареенето като комплексно явление, върху чиято динамика оказват многопосочно влияние генетични, социални, психологически, културологически и др. фактори, социалния статус, системата от ценностни ориентации, цялостното индивидуално поведение на човека.  В това отношение интерес представлява предлаганата от Т.А. </w:t>
      </w:r>
      <w:r>
        <w:rPr>
          <w:lang w:val="bg-BG"/>
        </w:rPr>
        <w:t xml:space="preserve">Карсаевская </w:t>
      </w:r>
      <w:r>
        <w:rPr>
          <w:b w:val="false"/>
          <w:lang w:val="bg-BG"/>
        </w:rPr>
        <w:t xml:space="preserve">и А.Т. </w:t>
      </w:r>
      <w:r>
        <w:rPr>
          <w:lang w:val="bg-BG"/>
        </w:rPr>
        <w:t>Шаталов</w:t>
      </w:r>
      <w:r>
        <w:rPr>
          <w:b w:val="false"/>
          <w:lang w:val="bg-BG"/>
        </w:rPr>
        <w:t xml:space="preserve"> (25, с. 148) схема на по-важните аспекти и съответните им подаспекти за изучаване на геронтогенеза (рис. 1).  Както уточняват самите автори, тази схема експлицира главно биологическите и социологическите аспекти, без да са включени биогеоценотичните, антропосоциогенетичните, социално-икономическите направления поради все още незадоволителната разработка на тези концепции. Без съмнение, една бъдеща цялостна теория за стареенето неминуемо ще включва и тези направления.</w:t>
      </w:r>
    </w:p>
    <w:p>
      <w:pPr>
        <w:pStyle w:val="Heading2"/>
        <w:rPr/>
      </w:pPr>
      <w:bookmarkStart w:id="12" w:name="__RefHeading___Toc89859673"/>
      <w:r>
        <w:rPr/>
        <w:t>3.4. Нормално и преждевременно стареене</w:t>
      </w:r>
      <w:bookmarkEnd w:id="12"/>
      <w:r>
        <w:rPr/>
        <w:t xml:space="preserve"> </w:t>
      </w:r>
    </w:p>
    <w:p>
      <w:pPr>
        <w:pStyle w:val="NormalText"/>
        <w:rPr/>
      </w:pPr>
      <w:r>
        <w:rPr/>
        <w:t xml:space="preserve">Независимо че все още интимните механизми на стареенето не са изучени изцяло,  геронтологията и гериатрията разполагат с достатъчно богата информация за най-общите закономерности и особености на този процес. Най-напред трябва да се посочи, че стареенето може да се разглежда както на организмено, така и на популационно ниво. Поради това съществуват най-различни определения, които се влагат по отношение на понятията възрастен и стар  човек”: </w:t>
      </w:r>
    </w:p>
    <w:p>
      <w:pPr>
        <w:pStyle w:val="Heading3"/>
        <w:numPr>
          <w:ilvl w:val="0"/>
          <w:numId w:val="49"/>
        </w:numPr>
        <w:jc w:val="both"/>
        <w:rPr/>
      </w:pPr>
      <w:r>
        <w:rPr>
          <w:b w:val="false"/>
          <w:lang w:val="bg-BG"/>
        </w:rPr>
        <w:t xml:space="preserve">от биологична гледна точка се “маркира” възрастта , която характеризира  промените, настъпили в биологичния статус по време на онтогенеза; </w:t>
      </w:r>
    </w:p>
    <w:p>
      <w:pPr>
        <w:pStyle w:val="Heading3"/>
        <w:numPr>
          <w:ilvl w:val="0"/>
          <w:numId w:val="49"/>
        </w:numPr>
        <w:jc w:val="both"/>
        <w:rPr>
          <w:b w:val="false"/>
          <w:b w:val="false"/>
          <w:lang w:val="bg-BG"/>
        </w:rPr>
      </w:pPr>
      <w:r>
        <w:rPr>
          <w:b w:val="false"/>
          <w:lang w:val="bg-BG"/>
        </w:rPr>
        <w:t xml:space="preserve">от хронологична гледна точка –това е “календарната” възраст на едно или друго лице; </w:t>
      </w:r>
    </w:p>
    <w:p>
      <w:pPr>
        <w:pStyle w:val="Heading3"/>
        <w:numPr>
          <w:ilvl w:val="0"/>
          <w:numId w:val="49"/>
        </w:numPr>
        <w:jc w:val="both"/>
        <w:rPr/>
      </w:pPr>
      <w:r>
        <w:rPr>
          <w:b w:val="false"/>
          <w:lang w:val="bg-BG"/>
        </w:rPr>
        <w:t xml:space="preserve">от социална гледна точка –характеристиката на членовете в обществото, считани за възрастни или стари се свързва с комплекса от социални, културни, нравствени и пр. критерии; </w:t>
      </w:r>
    </w:p>
    <w:p>
      <w:pPr>
        <w:pStyle w:val="Heading3"/>
        <w:numPr>
          <w:ilvl w:val="0"/>
          <w:numId w:val="49"/>
        </w:numPr>
        <w:jc w:val="both"/>
        <w:rPr>
          <w:b w:val="false"/>
          <w:b w:val="false"/>
          <w:lang w:val="bg-BG"/>
        </w:rPr>
      </w:pPr>
      <w:r>
        <w:rPr>
          <w:b w:val="false"/>
          <w:lang w:val="bg-BG"/>
        </w:rPr>
        <w:t xml:space="preserve">от икономическа гледна точка – характеристиката на членовете на обществото в зависимост от това дали са в пенсионна възраст или не.    </w:t>
      </w:r>
    </w:p>
    <w:p>
      <w:pPr>
        <w:pStyle w:val="Heading3"/>
        <w:jc w:val="both"/>
        <w:rPr/>
      </w:pPr>
      <w:r>
        <w:rPr>
          <w:b w:val="false"/>
          <w:lang w:val="bg-BG"/>
        </w:rPr>
        <w:t xml:space="preserve">В геронтологията и гериатрията се разграничават понятията </w:t>
      </w:r>
      <w:r>
        <w:rPr>
          <w:lang w:val="bg-BG"/>
        </w:rPr>
        <w:t xml:space="preserve">нормално (физиологично) и преждевременно (патологично) стареене (прогерия). </w:t>
      </w:r>
      <w:r>
        <w:rPr>
          <w:b w:val="false"/>
          <w:lang w:val="bg-BG"/>
        </w:rPr>
        <w:t xml:space="preserve">Още в решенията на Световната здравна организация през 1963 г. (12, с. 184 и сл.) се отбелязва, че </w:t>
      </w:r>
      <w:r>
        <w:rPr>
          <w:lang w:val="bg-BG"/>
        </w:rPr>
        <w:t>физиологичното стареене</w:t>
      </w:r>
      <w:r>
        <w:rPr>
          <w:b w:val="false"/>
          <w:lang w:val="bg-BG"/>
        </w:rPr>
        <w:t xml:space="preserve"> има “естествено начало, постепенно развитие на старческите изменения, характерни за даден вид, и ограничаване на способностите за адаптация на организма към обкръжаващата го среда.” С други думи, физиологичното стареене е неизбежен, закономерен, биологично детерминиран процес. По своята същност той протича бавно, като че ли “незабелязано” и се обуславя от видовите особености на възрастовите изменения на организма. При него е налице постепенно настъпващо и постепенно развиващо се ограничение на възможностите за адаптация на организма към средата, с нарастваща вероятност за смърт. </w:t>
      </w:r>
      <w:r>
        <w:rPr>
          <w:lang w:val="bg-BG"/>
        </w:rPr>
        <w:t xml:space="preserve">Нормалното (естественото) стареене </w:t>
      </w:r>
      <w:r>
        <w:rPr>
          <w:b w:val="false"/>
          <w:lang w:val="bg-BG"/>
        </w:rPr>
        <w:t xml:space="preserve">е перманентен процес на съкращаване на приспособителните сили на организма, ограничаване на саморегулацията, деградация на жизнените процеси, но заедно с това и мобилизиране на нови приспособителни механизми за адаптация на различни нива в организма. В крайна степен на изява стареенето се манифестира с клинични, функционални и структурни промени, които в старческа възраст много трудно могат да бъдат разграничени от патологичните процеси. Измененията в организма при физиологичното стареене могат да се класифицират в следните три направления: </w:t>
      </w:r>
    </w:p>
    <w:p>
      <w:pPr>
        <w:pStyle w:val="Normal"/>
        <w:rPr>
          <w:b/>
          <w:b/>
          <w:lang w:val="bg-BG"/>
        </w:rPr>
      </w:pPr>
      <w:r>
        <w:rPr>
          <w:b/>
          <w:lang w:val="bg-BG"/>
        </w:rPr>
      </w:r>
    </w:p>
    <w:p>
      <w:pPr>
        <w:pStyle w:val="Heading3"/>
        <w:numPr>
          <w:ilvl w:val="0"/>
          <w:numId w:val="10"/>
        </w:numPr>
        <w:jc w:val="both"/>
        <w:rPr/>
      </w:pPr>
      <w:r>
        <w:rPr>
          <w:lang w:val="bg-BG"/>
        </w:rPr>
        <w:t>прогресиращо намаляващи с възрастта</w:t>
      </w:r>
      <w:r>
        <w:rPr>
          <w:b w:val="false"/>
          <w:lang w:val="bg-BG"/>
        </w:rPr>
        <w:t xml:space="preserve">. Това са промените в показателите на физическото развитие и физическата дееспособност – оценка на външното дишане, някои функции на висшата нервна дейност, промени в регулацията на някои жлези с вътрешна секреция, промени в храносмилателната система, в силата на зрението и слуха и пр.; </w:t>
      </w:r>
    </w:p>
    <w:p>
      <w:pPr>
        <w:pStyle w:val="Heading3"/>
        <w:numPr>
          <w:ilvl w:val="0"/>
          <w:numId w:val="10"/>
        </w:numPr>
        <w:jc w:val="both"/>
        <w:rPr/>
      </w:pPr>
      <w:r>
        <w:rPr>
          <w:lang w:val="bg-BG"/>
        </w:rPr>
        <w:t>непроменящи се по същество с възрастта</w:t>
      </w:r>
      <w:r>
        <w:rPr>
          <w:b w:val="false"/>
          <w:lang w:val="bg-BG"/>
        </w:rPr>
        <w:t xml:space="preserve">. Тук се отнасят постоянството в алкално-киселинното равновесие, стабилност в нивото на кръвната захар, морфологичният състав на кръвта, диастолично кръвно налягане, работоспособността на някои групи мускули и др.; </w:t>
      </w:r>
    </w:p>
    <w:p>
      <w:pPr>
        <w:pStyle w:val="Heading3"/>
        <w:numPr>
          <w:ilvl w:val="0"/>
          <w:numId w:val="10"/>
        </w:numPr>
        <w:jc w:val="both"/>
        <w:rPr/>
      </w:pPr>
      <w:r>
        <w:rPr>
          <w:lang w:val="bg-BG"/>
        </w:rPr>
        <w:t>прогресивно нарастващи с възрастта</w:t>
      </w:r>
      <w:r>
        <w:rPr>
          <w:b w:val="false"/>
          <w:lang w:val="bg-BG"/>
        </w:rPr>
        <w:t xml:space="preserve">. Това са например повишената клетъчна и тъканна чувствителност към хуморални и химически фактори, повишена ензимна активност, нарастване на систоличното налягане и др.   </w:t>
      </w:r>
    </w:p>
    <w:p>
      <w:pPr>
        <w:pStyle w:val="Heading3"/>
        <w:jc w:val="both"/>
        <w:rPr>
          <w:b w:val="false"/>
          <w:b w:val="false"/>
          <w:lang w:val="bg-BG"/>
        </w:rPr>
      </w:pPr>
      <w:r>
        <w:rPr>
          <w:b w:val="false"/>
          <w:lang w:val="bg-BG"/>
        </w:rPr>
        <w:t xml:space="preserve">Преждевременното (патологичното) стареене се характеризира със значително ранно развитие на възрастовите изменения или значително по-силната им изразеност. То се развива в резултат на неблагоприятното действие на фактори на външната (климатични, хранене, професионални, битови, социално-икономически и др.) и вътрешната среда (нарушения в адаптацията, различни видове хронични заболявания. Повечето от геронтолозите и гериатрите се придържат към схващането, че преждевременното стареене се изявява към края на петото десетилетие със синдром на намалена адаптация, нарушени функции на сърдечно-съдовата система, намалена рецепция на анализаторите, промени в ЦНС, намален имунитет и др. За възникване и развитие па преждевременното стареене обикновено като най-значими се смятат следните три фактора: </w:t>
      </w:r>
    </w:p>
    <w:p>
      <w:pPr>
        <w:pStyle w:val="Heading3"/>
        <w:jc w:val="both"/>
        <w:rPr>
          <w:lang w:val="bg-BG"/>
        </w:rPr>
      </w:pPr>
      <w:r>
        <w:rPr>
          <w:lang w:val="bg-BG"/>
        </w:rPr>
        <w:t xml:space="preserve">1.    Наследствено-конституционални. Тези фактори нямат особено значение за профилактиката и демографията на преждевременното стареене.   </w:t>
      </w:r>
    </w:p>
    <w:p>
      <w:pPr>
        <w:pStyle w:val="Heading3"/>
        <w:jc w:val="both"/>
        <w:rPr/>
      </w:pPr>
      <w:r>
        <w:rPr/>
        <w:t xml:space="preserve">2. </w:t>
      </w:r>
      <w:r>
        <w:rPr>
          <w:lang w:val="bg-BG"/>
        </w:rPr>
        <w:t xml:space="preserve">Посредствуващи (средови) фактори. </w:t>
      </w:r>
      <w:r>
        <w:rPr>
          <w:b w:val="false"/>
          <w:lang w:val="bg-BG"/>
        </w:rPr>
        <w:t xml:space="preserve">Такива са режимът на хранене, нервно-емоционалните разстройства при стресови ситуации, които са с доказана отрицателна роля върху ЦНС. Значителна е и ролята на професионалните вредности и интоксикации, на тютюнопушенето, алкохолизмът и др. </w:t>
      </w:r>
    </w:p>
    <w:p>
      <w:pPr>
        <w:pStyle w:val="Heading3"/>
        <w:jc w:val="both"/>
        <w:rPr/>
      </w:pPr>
      <w:r>
        <w:rPr>
          <w:b w:val="false"/>
          <w:lang w:val="bg-BG"/>
        </w:rPr>
        <w:t xml:space="preserve">3.   </w:t>
      </w:r>
      <w:r>
        <w:rPr>
          <w:lang w:val="bg-BG"/>
        </w:rPr>
        <w:t xml:space="preserve">Хронически и дегенеративни заболявания. </w:t>
      </w:r>
      <w:r>
        <w:rPr>
          <w:b w:val="false"/>
          <w:lang w:val="bg-BG"/>
        </w:rPr>
        <w:t>Тази група фактори играе много голяма роля за развитието на преждевременното стареене. Когато трябва да се направи комплексна характеристика на стареенето на населението, обикновено се провеждат проучвания относно промените по посочените фактори, направления и показатели за лица от различни възрастови, професионални и социални групи.</w:t>
      </w:r>
    </w:p>
    <w:p>
      <w:pPr>
        <w:pStyle w:val="Heading3"/>
        <w:jc w:val="both"/>
        <w:rPr/>
      </w:pPr>
      <w:r>
        <w:rPr>
          <w:b w:val="false"/>
          <w:lang w:val="bg-BG"/>
        </w:rPr>
        <w:t xml:space="preserve">Както изтъква проф. Ст. </w:t>
      </w:r>
      <w:r>
        <w:rPr>
          <w:lang w:val="bg-BG"/>
        </w:rPr>
        <w:t>Визев</w:t>
      </w:r>
      <w:r>
        <w:rPr>
          <w:b w:val="false"/>
          <w:lang w:val="bg-BG"/>
        </w:rPr>
        <w:t xml:space="preserve">, много е трудно да се направи точна диференциация  между нормалното и преждевременното стареене. Нормалното стареене е естествен процес, който не е свързан непосредствено с едни или други заболявания. Стареенето на нивото на целия организъм най-често протича “синхронно”, отразявайки както индивидуалното, така и социалното в природата на човека. Механизмите на естественото стареене в редица случаи могат да променят своя характер и темп. Съществува пряка връзка между развитието на заболеваемостта и преждевременното стареене. Последното обикновено е причинено от протичането на тежки заболявания, интоксикации, травми, нерационално хранене или хронично гладуване, намален двигателен режим и др. Не всяко заболяване обаче може да доведе до промени в характера и темпа на стареенето, а само това, което достига определена степен на изразеност. </w:t>
      </w:r>
    </w:p>
    <w:p>
      <w:pPr>
        <w:pStyle w:val="Heading3"/>
        <w:jc w:val="both"/>
        <w:rPr>
          <w:b w:val="false"/>
          <w:b w:val="false"/>
          <w:lang w:val="bg-BG"/>
        </w:rPr>
      </w:pPr>
      <w:r>
        <w:rPr>
          <w:b w:val="false"/>
          <w:lang w:val="bg-BG"/>
        </w:rPr>
        <w:t xml:space="preserve">Стареенето може да създаде  предпоставки за възникване на заболявания, а те, от своя страна, могат да  нарушават нормалната дейност на организма. Често срещащите се в късната възраст хронични заболявания (атеросклероза, тумори, обменни заболявания, болести на опорно-двигателния апарат и  др.) обикновено се дължат на възрастови промени. На старостта обаче не трябва да се гледа като на болестно явление. Тя е закономерен, заключителен етап от индивидуалното развитие на човека (на вида въобще). Много прояви на стареенето и старостта са близки с признаците на някои заболявания, но между процеса на стареене и заболяванията съществуват различия в ритъма, протичането и в механизма на развитието им. Като пример може да се посочи развитието на атеросклерозата, която често съпътства живота на стария човек и вън от всякакво съмнение ускорява процеса на стареене. Първичните механизми на стареенето и атеросклерозата обаче не са еднакви – между тях съществуват достатъчно различия. Но това не означава, че липсва взаимовръзка и взаимна обусловеност.  Напротив, по-високата честота на заболяванията в старческа възраст е тясно свързана с напредналите възрастови изменения. Заболявания обаче могат да възникнат и в много по-ранните периоди от живота на човека и да завършат с летален изход, т.е. без да са приключили окончателно процесите на стареене. В края на старческата възраст обаче при опит да се разграничат възрастовите от болестните процеси много често се установява сплав от физиологични и патологични изменения.  </w:t>
      </w:r>
    </w:p>
    <w:p>
      <w:pPr>
        <w:pStyle w:val="Heading3"/>
        <w:jc w:val="both"/>
        <w:rPr>
          <w:b w:val="false"/>
          <w:b w:val="false"/>
          <w:lang w:val="bg-BG"/>
        </w:rPr>
      </w:pPr>
      <w:r>
        <w:rPr>
          <w:b w:val="false"/>
          <w:lang w:val="bg-BG"/>
        </w:rPr>
        <w:t xml:space="preserve">Стареенето е сложен динамичен процес, който е резултат от действието както на ендогенни (вътрешни, наследствени), така и на екзогенни (външни) фактори. Този процес засяга организма на всички негови нива (молекулярно, клетъчно, тъканно, органно, на нивото на системите и на целия организъм). Като универсален, всеобщ природен закон остаряването засяга целия космос. То е предимно ендогенен процес, т.е. програмата за развитие на организма, от зачеването му до смъртта, е детерминирана генетично. То протича винаги еднопосочно, макар и асинхронно във времето. В процеса на остаряването преобладават феномените на разпадане, дезинтеграция и разрушаване над процесите на синтеза, изграждането и обновлението. Възможни са само промени в скоростта на протичане на остаряването, т.е. до известна степен забавяне или ускоряване на биологичното стареене. Факторите, които влияят върху скоростта на остаряването обикновено се обособяват в 3 групи: </w:t>
      </w:r>
    </w:p>
    <w:p>
      <w:pPr>
        <w:pStyle w:val="Heading3"/>
        <w:numPr>
          <w:ilvl w:val="0"/>
          <w:numId w:val="50"/>
        </w:numPr>
        <w:jc w:val="both"/>
        <w:rPr/>
      </w:pPr>
      <w:r>
        <w:rPr>
          <w:lang w:val="bg-BG"/>
        </w:rPr>
        <w:t>генетични</w:t>
      </w:r>
      <w:r>
        <w:rPr>
          <w:b w:val="false"/>
          <w:lang w:val="bg-BG"/>
        </w:rPr>
        <w:t xml:space="preserve"> или наследствени фактори; </w:t>
      </w:r>
    </w:p>
    <w:p>
      <w:pPr>
        <w:pStyle w:val="Heading3"/>
        <w:numPr>
          <w:ilvl w:val="0"/>
          <w:numId w:val="50"/>
        </w:numPr>
        <w:jc w:val="both"/>
        <w:rPr/>
      </w:pPr>
      <w:r>
        <w:rPr>
          <w:lang w:val="bg-BG"/>
        </w:rPr>
        <w:t xml:space="preserve">екологични </w:t>
      </w:r>
      <w:r>
        <w:rPr>
          <w:b w:val="false"/>
          <w:lang w:val="bg-BG"/>
        </w:rPr>
        <w:t xml:space="preserve">или фактори на външната среда; </w:t>
      </w:r>
    </w:p>
    <w:p>
      <w:pPr>
        <w:pStyle w:val="Heading3"/>
        <w:numPr>
          <w:ilvl w:val="0"/>
          <w:numId w:val="50"/>
        </w:numPr>
        <w:jc w:val="both"/>
        <w:rPr/>
      </w:pPr>
      <w:r>
        <w:rPr>
          <w:lang w:val="bg-BG"/>
        </w:rPr>
        <w:t xml:space="preserve">патологични </w:t>
      </w:r>
      <w:r>
        <w:rPr>
          <w:b w:val="false"/>
          <w:lang w:val="bg-BG"/>
        </w:rPr>
        <w:t xml:space="preserve">фактори, свързани с въздействията на различните болестни причинители.  </w:t>
      </w:r>
    </w:p>
    <w:p>
      <w:pPr>
        <w:pStyle w:val="Heading2"/>
        <w:spacing w:lineRule="auto" w:line="240"/>
        <w:rPr/>
      </w:pPr>
      <w:bookmarkStart w:id="13" w:name="__RefHeading___Toc89859674"/>
      <w:bookmarkEnd w:id="13"/>
      <w:r>
        <w:rPr/>
        <w:t>3.5. Продължителност на живота.  Измерване на  стареенето. “Възрастова норма” и индивидуални отклонения</w:t>
      </w:r>
    </w:p>
    <w:p>
      <w:pPr>
        <w:pStyle w:val="Heading3"/>
        <w:jc w:val="both"/>
        <w:rPr/>
      </w:pPr>
      <w:r>
        <w:rPr>
          <w:b w:val="false"/>
          <w:lang w:val="bg-BG"/>
        </w:rPr>
        <w:t xml:space="preserve">Човек се ражда, живее и умира. Животът и смъртта! Това са най-загадъчните и най-вълнуващите явления на нашата планета. Човешкият живот тържествува на Земята, а смъртта  следва (и преследва) човека  на всяка крачка със силата на обективен природен закон.  “Нормален” ли е “престоят” на човека на Земята, достатъчна ли е продължителността на неговия живот, за да изпълни своята “мисия”? “Някои древни китайци, напр. Ян </w:t>
      </w:r>
      <w:r>
        <w:rPr>
          <w:lang w:val="bg-BG"/>
        </w:rPr>
        <w:t xml:space="preserve">Чжу </w:t>
      </w:r>
      <w:r>
        <w:rPr>
          <w:b w:val="false"/>
          <w:lang w:val="bg-BG"/>
        </w:rPr>
        <w:t>е смятал, че невръстните години, годините на старческа немощ, дните на скърби и страдания, болести и мъки, както и времето, прекарано в сън, не следва да се причисляват към живота. По този начин Ян Чжу е изчислявал, че човек, който иначе живее сто години, фактически живее само десет години. В този смисъл и Паскал е съветвал първите 20 години от живота на човека да не се броят, защото “дотогава ние сме деца, а детето- това още не е човек”, казва той. Още по-песимистично се е изказал Ж.-Ж</w:t>
      </w:r>
      <w:r>
        <w:rPr>
          <w:lang w:val="bg-BG"/>
        </w:rPr>
        <w:t>. Русо</w:t>
      </w:r>
      <w:r>
        <w:rPr>
          <w:b w:val="false"/>
          <w:lang w:val="bg-BG"/>
        </w:rPr>
        <w:t xml:space="preserve"> по този въпрос. Той е смятал, че животът на тази земя бързо свършва. Първата му четвъртина минава преди да знаем как да го живеем. Последната четвъртина изтича след като сме престанали да му се наслаждаваме. Отначало не знаем, а по-късно не можем да живеем. В промеждутъка, който разделя тези две безполезни четвъртинки, останалите две минават в сън, работа, страдания, принуда и най-различни безпокойства. Животът е къс, не толкова поради краткотрайността си, колкото поради това, че не намираме време да вкусим от него” (13, с. 373 и сл.).</w:t>
      </w:r>
    </w:p>
    <w:p>
      <w:pPr>
        <w:pStyle w:val="Heading3"/>
        <w:jc w:val="both"/>
        <w:rPr/>
      </w:pPr>
      <w:r>
        <w:rPr>
          <w:b w:val="false"/>
          <w:lang w:val="bg-BG"/>
        </w:rPr>
        <w:t xml:space="preserve">В демографската литература, а също и в трудовете по биология, медицина и други области  оживено се обсъжда въпросът за продължителността на живота на човека. На преден план се поставят въпросите за неговите естествени предели, за перспективите за удължаване на живота с помощта на науката и начина на живот и пр. Понякога се привеждат невероятни примери за дълголетие на хора. Изказват се и най-различни предположения за възможния предел на човешкия живот, някои от които са просто невероятни.  Така например според Р. </w:t>
      </w:r>
      <w:r>
        <w:rPr>
          <w:lang w:val="bg-BG"/>
        </w:rPr>
        <w:t xml:space="preserve">Бекон </w:t>
      </w:r>
      <w:r>
        <w:rPr>
          <w:b w:val="false"/>
          <w:lang w:val="bg-BG"/>
        </w:rPr>
        <w:t xml:space="preserve">човек може да живее до хиляда години! </w:t>
      </w:r>
      <w:r>
        <w:rPr>
          <w:lang w:val="bg-BG"/>
        </w:rPr>
        <w:t>Парацелз</w:t>
      </w:r>
      <w:r>
        <w:rPr>
          <w:b w:val="false"/>
          <w:lang w:val="bg-BG"/>
        </w:rPr>
        <w:t xml:space="preserve"> е смятал, че човек може да живее до 600 години, Х. </w:t>
      </w:r>
      <w:r>
        <w:rPr>
          <w:lang w:val="bg-BG"/>
        </w:rPr>
        <w:t>Хуфеланд</w:t>
      </w:r>
      <w:r>
        <w:rPr>
          <w:b w:val="false"/>
          <w:lang w:val="bg-BG"/>
        </w:rPr>
        <w:t xml:space="preserve"> – до 200, П.П. </w:t>
      </w:r>
      <w:r>
        <w:rPr>
          <w:lang w:val="bg-BG"/>
        </w:rPr>
        <w:t xml:space="preserve">Лазарев </w:t>
      </w:r>
      <w:r>
        <w:rPr>
          <w:b w:val="false"/>
          <w:lang w:val="bg-BG"/>
        </w:rPr>
        <w:t xml:space="preserve">– до 180. Може да се посочат още десетки автори, които щедро даряват човека с дълъг и предълъг живот. И при всички случаи на първо място личи </w:t>
      </w:r>
      <w:r>
        <w:rPr>
          <w:lang w:val="bg-BG"/>
        </w:rPr>
        <w:t>личният стремеж</w:t>
      </w:r>
      <w:r>
        <w:rPr>
          <w:b w:val="false"/>
          <w:lang w:val="bg-BG"/>
        </w:rPr>
        <w:t xml:space="preserve"> и жаждата у тези автори за дълъг, за безкраен, за вечен живот.</w:t>
      </w:r>
    </w:p>
    <w:p>
      <w:pPr>
        <w:pStyle w:val="Heading3"/>
        <w:jc w:val="both"/>
        <w:rPr/>
      </w:pPr>
      <w:r>
        <w:rPr>
          <w:b w:val="false"/>
          <w:lang w:val="bg-BG"/>
        </w:rPr>
        <w:t xml:space="preserve">Понастоящем се лансира  мисълта, че човекът е създаден да живее  над 150 години, но при други условия (60). Посочва се, че във всяка клетка на човешкия организъм има специални структури, наречени теломери. За един нормален живот техният брой е 50, максимум 55. Но с всяко деление на клетките теломерите остават с един по-малко: 49, 48, 47 и т.н. по низходяща линия.. И когато свърши възможността за делене на клетките, настъпва естествената, биологична смърт. За един човешки живот клетките могат да се делят 50-55 пъти и това е пределната граница между живота и смъртта. Средно за един живот организмът на човека произвежда около един тон клетки. По принцип тези клетки дават възможност човек да живее до 150 години, но далеч от цивилизацията и в благоприятна екологична обстановка. В действителност обаче се приема, че </w:t>
      </w:r>
      <w:r>
        <w:rPr>
          <w:lang w:val="bg-BG"/>
        </w:rPr>
        <w:t>границата на</w:t>
      </w:r>
      <w:r>
        <w:rPr>
          <w:b w:val="false"/>
          <w:lang w:val="bg-BG"/>
        </w:rPr>
        <w:t xml:space="preserve"> </w:t>
      </w:r>
      <w:r>
        <w:rPr>
          <w:lang w:val="bg-BG"/>
        </w:rPr>
        <w:t>активната човешка дейност е 80-90 години</w:t>
      </w:r>
      <w:r>
        <w:rPr>
          <w:b w:val="false"/>
          <w:lang w:val="bg-BG"/>
        </w:rPr>
        <w:t xml:space="preserve">.  При това сърцето  има способността да се свива “само” до 800 милиона пъти за един човешки живот. С други думи, физиологичните ресурси на човека не са неограничени, поради което повечето от учените  приемат,че </w:t>
      </w:r>
      <w:r>
        <w:rPr>
          <w:lang w:val="bg-BG"/>
        </w:rPr>
        <w:t>нормалната продължителност</w:t>
      </w:r>
      <w:r>
        <w:rPr>
          <w:b w:val="false"/>
          <w:lang w:val="bg-BG"/>
        </w:rPr>
        <w:t xml:space="preserve"> на живота при човека е около 90-100 години. Вестник “Новинар” от 8 март 2004 г. писа, че е починал столетник № 1 испанецът Хуан Мол, записан в книгата на Гинес като най-стария мъж в света. 114-годишният пенсиониран обущар е връстник на Айфеловата кула. Столетникът казвал, че дължи дълголетието си на своя умерен живот – пушел, но “не много”, събирал се редовно с приятели и дори карал колело след навършване на 100 годишна възраст.  </w:t>
      </w:r>
    </w:p>
    <w:p>
      <w:pPr>
        <w:pStyle w:val="Heading3"/>
        <w:jc w:val="both"/>
        <w:rPr/>
      </w:pPr>
      <w:r>
        <w:rPr>
          <w:b w:val="false"/>
          <w:lang w:val="bg-BG"/>
        </w:rPr>
        <w:t xml:space="preserve">Продължителността на живота е видове явление, но съществуват и вътревидови различия. Известно е (12, с. 94 и сл.), че в природата продължителността на живота се колебае от няколко минути (у бактериите) до хилядолетия (при някои растения). При висшите животни продължителността на живота достига до над 100 години. При едноклетъчните продължителността на индивидуалния живот, протичащ между две деления, е ограничен. Той се изчислява най-често в минути, часове или дни. В растителния свят някои видове водорасли живеят дни, седмици и месеци. При плодоносните растения продължителността на живота е различна. Черницата живее около 25 години; магнолията – 100; лозата – 130; дивата круша и вишня достигат до 300; бръшлянът – 440; елата, букът и борът – до 1000; липата – 1200; дъбът, кестенът, кедърът – 2000. При животните също има различия в продължителността на живота, макар и не толкова големи. При безгръбначните някои видове живеят около 2, а други – до 9 години. Дъждовният червей живее 3-4 години, а някои подвидове – до 10. Повечето от ракообразните живеят няколко месеца – от пролетта до есента. По-висшите раци живеят по-дълго време. Речният рак например достига до 15-25 години, а омарът – около 50. Продължителността на живота при насекомите е различна. Под формата на личинки те могат да живеят и по-дълго време. Домашната муха живее от 1 месец до 76 дни; пчелата – повече от 5 години. Майският бръмбар живее около 1 месец, а личинката му – 4-5 години.  При рибите също се наблюдават големи различия в продължителността на живота. Обикновеният сом живее над 60 години, мряната – около 26; акулата – 25. Продължителността на живота при птиците е различа. Славеят живее от 12 до 18 години; дивият гълъб – 10-20; домашният гълъб – до 30. Кукувицата достига до 40 години; ястребът – 23; домашната кокошка – 20. Съществуват твърде големия различия в продължителността на живота при млекопитаещите. Домашният заек достига до 7, а дивият до 7-9 години; плъховете – до 2 години и 6 месеца; домашната мишка – до 3 години и 6 месеца. От хищниците с най-голяма продължителност на живота са мечките – до34 години. Животът  на тигъра е около  19 години ; на хиената – 25; на вълка и чакала – 16; на лисицата – 12. Независимо че лъвът е едно от най-силните животни, той не живее повече от 30 години, докато конят достига до 60; магарето – до 40-45; мулето – до 40-60; биволът – до 30; козата и овцата – до 15; дивата свиня – до30, а домашната – до 15-20 години. </w:t>
      </w:r>
    </w:p>
    <w:p>
      <w:pPr>
        <w:pStyle w:val="Heading3"/>
        <w:jc w:val="both"/>
        <w:rPr/>
      </w:pPr>
      <w:r>
        <w:rPr>
          <w:lang w:val="bg-BG"/>
        </w:rPr>
        <w:t xml:space="preserve">Продължителността на индивидуалния живот на човека </w:t>
      </w:r>
      <w:r>
        <w:rPr>
          <w:b w:val="false"/>
          <w:lang w:val="bg-BG"/>
        </w:rPr>
        <w:t xml:space="preserve">е обусловена от действието на твърде сложен комплекс от фактори и предпоставки. В значителна степен тя е онаследена от предците на човека, но в същото време върху нея оказват влияние националната и етническата принадлежност, равнището на развитие на обществото, включеността в обществено полезен труд, съхранението на социалните контакти и пр. “Продължителността на индивидуалния човешки живот е сложен резултат на системата от взаимодействия на цяла съвкупност от такива фактори, като: </w:t>
      </w:r>
    </w:p>
    <w:p>
      <w:pPr>
        <w:pStyle w:val="Heading3"/>
        <w:numPr>
          <w:ilvl w:val="0"/>
          <w:numId w:val="19"/>
        </w:numPr>
        <w:jc w:val="both"/>
        <w:rPr>
          <w:b w:val="false"/>
          <w:b w:val="false"/>
          <w:lang w:val="bg-BG"/>
        </w:rPr>
      </w:pPr>
      <w:r>
        <w:rPr>
          <w:b w:val="false"/>
          <w:lang w:val="bg-BG"/>
        </w:rPr>
        <w:t xml:space="preserve">първо, особеностите на вида Homo sapiens; </w:t>
      </w:r>
    </w:p>
    <w:p>
      <w:pPr>
        <w:pStyle w:val="Heading3"/>
        <w:numPr>
          <w:ilvl w:val="0"/>
          <w:numId w:val="19"/>
        </w:numPr>
        <w:jc w:val="both"/>
        <w:rPr>
          <w:b w:val="false"/>
          <w:b w:val="false"/>
          <w:lang w:val="bg-BG"/>
        </w:rPr>
      </w:pPr>
      <w:r>
        <w:rPr>
          <w:b w:val="false"/>
          <w:lang w:val="bg-BG"/>
        </w:rPr>
        <w:t xml:space="preserve">второ, цялата съвкупност от обществени условия на живота, присъщи на определена степен от развитието на човешкото общество; </w:t>
      </w:r>
    </w:p>
    <w:p>
      <w:pPr>
        <w:pStyle w:val="Heading3"/>
        <w:numPr>
          <w:ilvl w:val="0"/>
          <w:numId w:val="19"/>
        </w:numPr>
        <w:jc w:val="both"/>
        <w:rPr>
          <w:b w:val="false"/>
          <w:b w:val="false"/>
          <w:lang w:val="bg-BG"/>
        </w:rPr>
      </w:pPr>
      <w:r>
        <w:rPr>
          <w:b w:val="false"/>
          <w:lang w:val="bg-BG"/>
        </w:rPr>
        <w:t>трето, социалната принадлежност на дадения индивид със всички произтичащи от това последствия;</w:t>
      </w:r>
    </w:p>
    <w:p>
      <w:pPr>
        <w:pStyle w:val="Heading3"/>
        <w:numPr>
          <w:ilvl w:val="0"/>
          <w:numId w:val="19"/>
        </w:numPr>
        <w:jc w:val="both"/>
        <w:rPr>
          <w:b w:val="false"/>
          <w:b w:val="false"/>
          <w:lang w:val="bg-BG"/>
        </w:rPr>
      </w:pPr>
      <w:r>
        <w:rPr>
          <w:b w:val="false"/>
          <w:lang w:val="bg-BG"/>
        </w:rPr>
        <w:t xml:space="preserve">четвърто, индивидуално-типологическите особености на конституцията, на нервната система, на психиката на конкретния човек;  </w:t>
      </w:r>
    </w:p>
    <w:p>
      <w:pPr>
        <w:pStyle w:val="Heading3"/>
        <w:numPr>
          <w:ilvl w:val="0"/>
          <w:numId w:val="19"/>
        </w:numPr>
        <w:jc w:val="both"/>
        <w:rPr>
          <w:b w:val="false"/>
          <w:b w:val="false"/>
          <w:lang w:val="bg-BG"/>
        </w:rPr>
      </w:pPr>
      <w:r>
        <w:rPr>
          <w:b w:val="false"/>
          <w:lang w:val="bg-BG"/>
        </w:rPr>
        <w:t xml:space="preserve">и накрая,пето, равнището на образованието на човека, особеностите на неговото поведение и индивидуалния му начин на живот” (25, с. 93).  </w:t>
      </w:r>
    </w:p>
    <w:p>
      <w:pPr>
        <w:pStyle w:val="Heading3"/>
        <w:jc w:val="both"/>
        <w:rPr/>
      </w:pPr>
      <w:r>
        <w:rPr>
          <w:b w:val="false"/>
          <w:lang w:val="bg-BG"/>
        </w:rPr>
        <w:t xml:space="preserve">Вследствие на неравномерното развитие на процесите на стареене не съществува съвпадение между </w:t>
      </w:r>
      <w:r>
        <w:rPr>
          <w:lang w:val="bg-BG"/>
        </w:rPr>
        <w:t>хронологичната (календарната)</w:t>
      </w:r>
      <w:r>
        <w:rPr>
          <w:b w:val="false"/>
          <w:lang w:val="bg-BG"/>
        </w:rPr>
        <w:t xml:space="preserve"> и </w:t>
      </w:r>
      <w:r>
        <w:rPr>
          <w:lang w:val="bg-BG"/>
        </w:rPr>
        <w:t>биологичната възраст.</w:t>
      </w:r>
      <w:r>
        <w:rPr>
          <w:b w:val="false"/>
          <w:lang w:val="bg-BG"/>
        </w:rPr>
        <w:t xml:space="preserve"> Повишаването на вероятността за настъпване на смърт с възрастта е тясно свързано с прогресивното намаляване на жизнеспособността на организма, на функционалните възможности на отделните органи и системи. Неравномерността на процеса на стареенето се изразява както в това, че една и съща функция се изменя с различна скорост у различните индивиди, така и в това, че се наблюдава асинхронност по отношение на различните функции на един и същ организъм. Поради това някои автори изтъкват необходимостта да се прави разграничение между биологическата възраст  на една или друга функция и биологическата възраст на организма като цяло,  която може да се разглежда като средна величина от показателите на всички функции при отчитане тяхната важност за живота на човека. </w:t>
      </w:r>
    </w:p>
    <w:p>
      <w:pPr>
        <w:pStyle w:val="Heading3"/>
        <w:jc w:val="both"/>
        <w:rPr/>
      </w:pPr>
      <w:r>
        <w:rPr>
          <w:b w:val="false"/>
          <w:lang w:val="bg-BG"/>
        </w:rPr>
        <w:t xml:space="preserve">Анатомо-физиологичните  различия, различията в начина на живот, на хранене, принадлежността към една или друга социална и етническа група и пр. – всичко това води до съществени различия в процесите на стареене при отделните хора, като изключва всякакъв  стереотип. С други думи, биологическата възраст на индивида изразява съответствието на неговите физиологически функции на една или друга средностатистическа възрастова “норма”. Като синоними на понятието “биологическа възраст” се използват и “физиологическа възраст”, “фактическа възраст”, тъй като те характеризират фактическото състояние на органите и системите на един или друг човек за разлика от онова състояние, което би трябвало да бъде според календарната възраст. </w:t>
      </w:r>
    </w:p>
    <w:p>
      <w:pPr>
        <w:pStyle w:val="Heading3"/>
        <w:jc w:val="both"/>
        <w:rPr/>
      </w:pPr>
      <w:r>
        <w:rPr>
          <w:b w:val="false"/>
          <w:lang w:val="bg-BG"/>
        </w:rPr>
        <w:t>Различните автори влагат различен смисъл в понятието “</w:t>
      </w:r>
      <w:r>
        <w:rPr>
          <w:lang w:val="bg-BG"/>
        </w:rPr>
        <w:t xml:space="preserve">биологическа възраст </w:t>
      </w:r>
      <w:r>
        <w:rPr>
          <w:b w:val="false"/>
          <w:lang w:val="bg-BG"/>
        </w:rPr>
        <w:t xml:space="preserve">(19, с. 66 и сл.). Така например Д.Ф. </w:t>
      </w:r>
      <w:r>
        <w:rPr>
          <w:lang w:val="bg-BG"/>
        </w:rPr>
        <w:t xml:space="preserve">Чеботарев </w:t>
      </w:r>
      <w:r>
        <w:rPr>
          <w:b w:val="false"/>
          <w:lang w:val="bg-BG"/>
        </w:rPr>
        <w:t xml:space="preserve">го определя като “типично, най-често срещащо се състояние на организма на здравите хора от определена възрастова група на дадена епоха, народност и географски условия. Степента на разминаване между показателите на биологическата възраст и данните на индивида на същата възраст характеризира темпа на стареене”. В. </w:t>
      </w:r>
      <w:r>
        <w:rPr>
          <w:lang w:val="bg-BG"/>
        </w:rPr>
        <w:t>Рис</w:t>
      </w:r>
      <w:r>
        <w:rPr>
          <w:b w:val="false"/>
          <w:lang w:val="bg-BG"/>
        </w:rPr>
        <w:t xml:space="preserve"> дава следната формулировка: “Понятието “биологическа възраст” се използва за описание на структурите и функциите на организма  в определен период от живота; краен израз на биологическата възраст е съвкупността от функционалните възможности на организма.” Според В.В. </w:t>
      </w:r>
      <w:r>
        <w:rPr>
          <w:lang w:val="bg-BG"/>
        </w:rPr>
        <w:t xml:space="preserve">Фролкис </w:t>
      </w:r>
      <w:r>
        <w:rPr>
          <w:b w:val="false"/>
          <w:lang w:val="bg-BG"/>
        </w:rPr>
        <w:t xml:space="preserve">биологическата възраст се определя от потенциалните възможности на жизнедейността на организма. В. </w:t>
      </w:r>
      <w:r>
        <w:rPr>
          <w:lang w:val="bg-BG"/>
        </w:rPr>
        <w:t>Булер</w:t>
      </w:r>
      <w:r>
        <w:rPr>
          <w:b w:val="false"/>
          <w:lang w:val="bg-BG"/>
        </w:rPr>
        <w:t xml:space="preserve"> също акцентира на “биологическите потенции на индивида независимо от неговата хронологична възраст”.  Някои учени определят биологическата възраст чрез една или друга “остатъчна жизнедейност”.  Така напр. В.Н. </w:t>
      </w:r>
      <w:r>
        <w:rPr>
          <w:lang w:val="bg-BG"/>
        </w:rPr>
        <w:t xml:space="preserve">Никитин </w:t>
      </w:r>
      <w:r>
        <w:rPr>
          <w:b w:val="false"/>
          <w:lang w:val="bg-BG"/>
        </w:rPr>
        <w:t xml:space="preserve">посочва, че по принцип е вярна постановката, че  календарната възраст не само свидетелства за отдалечеността на организма от момента на неговото рождение, а и е заедно с това показател за отдалечеността от смъртта. Същевременно обаче той уточнява, че във всеки конкретен случай календарната възраст точно определя само едно – изживяното време и много малко говори за това, колко още ще живее даденият човек, тъй като това зависи от конкретната  ситуация, както и от вътрешните свойства на организма. Биологическата възраст на индивида по отношение на един или друг параметър от своя страна се измерва с времето, съответстващо на онова календарно време на популацията, за която наблюдаваното у този индивид значение на този параметър е най-типично. </w:t>
      </w:r>
    </w:p>
    <w:p>
      <w:pPr>
        <w:pStyle w:val="Heading3"/>
        <w:jc w:val="both"/>
        <w:rPr/>
      </w:pPr>
      <w:r>
        <w:rPr>
          <w:b w:val="false"/>
          <w:lang w:val="bg-BG"/>
        </w:rPr>
        <w:t xml:space="preserve">Както изтъкват Т.Л. </w:t>
      </w:r>
      <w:r>
        <w:rPr>
          <w:lang w:val="bg-BG"/>
        </w:rPr>
        <w:t xml:space="preserve">Дубина </w:t>
      </w:r>
      <w:r>
        <w:rPr>
          <w:b w:val="false"/>
          <w:lang w:val="bg-BG"/>
        </w:rPr>
        <w:t xml:space="preserve">и А.Н. </w:t>
      </w:r>
      <w:r>
        <w:rPr>
          <w:lang w:val="bg-BG"/>
        </w:rPr>
        <w:t>Разумович</w:t>
      </w:r>
      <w:r>
        <w:rPr>
          <w:b w:val="false"/>
          <w:lang w:val="bg-BG"/>
        </w:rPr>
        <w:t xml:space="preserve"> (19, с. 68 и сл.), идеята за измерване на биологическата възраст и чрез това на степента на стареене отдавна привлича вниманието на изследователите. Изказват се различни предложения – да се съди за степента на стареене по скоростта на зарастване на раните, в зависимост от снижаването интензивността на метаболизма, в зависимост от ядрено-плазменото състояние и пр. По-перспективни са опитите за комплексно изучаване на различните био- и физикохимични, морфологични, физиологични и пр. параметри, които характеризират скоростта на стареене, отклоненията от “средната норма”. “Задачата за определяне на биологическата възраст се състои в това – на базата на известната за дадената популация зависимост между някои физиологически показатели и хронологичната възраст по индивидуалното значение на този показател у индивида да се изчисли неговата биологическа възраст. Ако зависимостта между дадения показател и хронологическата възраст е линейна, то отклонението на индивидуалното значение на показателя от средната величина, характерна за тази хронологическа възраст, може да служи като мярка за различието между биологическата и хронологическата възраст на дадения индивид:</w:t>
      </w:r>
    </w:p>
    <w:p>
      <w:pPr>
        <w:pStyle w:val="Normal"/>
        <w:jc w:val="center"/>
        <w:rPr>
          <w:b/>
          <w:b/>
          <w:lang w:val="en-US"/>
        </w:rPr>
      </w:pPr>
      <w:r>
        <w:rPr>
          <w:b/>
          <w:lang w:val="en-US"/>
        </w:rPr>
      </w:r>
    </w:p>
    <w:p>
      <w:pPr>
        <w:pStyle w:val="Normal"/>
        <w:jc w:val="center"/>
        <w:rPr/>
      </w:pPr>
      <w:r>
        <w:rPr/>
        <w:t>Х ı -   Χ ср .  =    K ( Yбиол. – Y ),  където</w:t>
      </w:r>
    </w:p>
    <w:p>
      <w:pPr>
        <w:pStyle w:val="Normal"/>
        <w:spacing w:lineRule="auto" w:line="240"/>
        <w:rPr/>
      </w:pPr>
      <w:r>
        <w:rPr/>
        <w:t xml:space="preserve">Хi – индивидуалното значение на показателя; Х ср. – средното значение на показателя в дадената възрастова група;  Yбиол. – биологическата възраст на индивида;  Y- хронологическата възраст; K- констата.  Зависимостта между X и Y обикновено се определя на базата на множествените измервания на  X при различни значения на  Y и се изразява във вид на уравнение на регресия: </w:t>
      </w:r>
    </w:p>
    <w:p>
      <w:pPr>
        <w:pStyle w:val="Normal"/>
        <w:rPr/>
      </w:pPr>
      <w:r>
        <w:rPr/>
      </w:r>
    </w:p>
    <w:p>
      <w:pPr>
        <w:pStyle w:val="Normal"/>
        <w:rPr/>
      </w:pPr>
      <w:r>
        <w:rPr/>
        <w:t xml:space="preserve">                    </w:t>
      </w:r>
      <w:r>
        <w:rPr/>
        <w:t xml:space="preserve">X   ==     a  +  bY,  където </w:t>
      </w:r>
    </w:p>
    <w:p>
      <w:pPr>
        <w:pStyle w:val="Normal"/>
        <w:spacing w:lineRule="auto" w:line="240"/>
        <w:rPr/>
      </w:pPr>
      <w:r>
        <w:rPr/>
        <w:t>а  и b са коефициенти, определяни чрез метода на най-малките квадрати. Ако коефициентите  а и b са намерени, то практически изчисляването на биологическата възраст на всеки индивид от определена популация се свежда до решаване на уравнението:</w:t>
      </w:r>
    </w:p>
    <w:p>
      <w:pPr>
        <w:pStyle w:val="Normal"/>
        <w:rPr>
          <w:lang w:val="en-US"/>
        </w:rPr>
      </w:pPr>
      <w:r>
        <w:rPr>
          <w:lang w:val="en-US"/>
        </w:rPr>
      </w:r>
    </w:p>
    <w:p>
      <w:pPr>
        <w:pStyle w:val="Normal"/>
        <w:rPr/>
      </w:pPr>
      <w:r>
        <w:rPr/>
        <w:t xml:space="preserve">                 </w:t>
      </w:r>
      <w:r>
        <w:rPr/>
        <w:t>Y</w:t>
      </w:r>
      <w:r>
        <w:rPr>
          <w:vertAlign w:val="subscript"/>
        </w:rPr>
        <w:t>биол</w:t>
      </w:r>
      <w:r>
        <w:rPr/>
        <w:t xml:space="preserve">.  =    </w:t>
      </w:r>
      <w:r>
        <w:rPr>
          <w:u w:val="single"/>
        </w:rPr>
        <w:t>X</w:t>
      </w:r>
      <w:r>
        <w:rPr>
          <w:u w:val="single"/>
          <w:vertAlign w:val="subscript"/>
        </w:rPr>
        <w:t>i</w:t>
      </w:r>
      <w:r>
        <w:rPr>
          <w:u w:val="single"/>
        </w:rPr>
        <w:t xml:space="preserve"> – а</w:t>
      </w:r>
    </w:p>
    <w:p>
      <w:pPr>
        <w:pStyle w:val="Normal"/>
        <w:rPr/>
      </w:pPr>
      <w:r>
        <w:rPr/>
        <w:t xml:space="preserve">                                       </w:t>
      </w:r>
      <w:r>
        <w:rPr/>
        <w:t>b</w:t>
      </w:r>
    </w:p>
    <w:p>
      <w:pPr>
        <w:pStyle w:val="Heading3"/>
        <w:jc w:val="both"/>
        <w:rPr/>
      </w:pPr>
      <w:r>
        <w:rPr>
          <w:b w:val="false"/>
          <w:spacing w:val="-2"/>
          <w:lang w:val="bg-BG"/>
        </w:rPr>
        <w:t xml:space="preserve">За  определяне на биологическото възраст на  човека съществуват множество морфологически, физиологически, биохимически и психологически тестове. Експерименталната геронтология разполага с твърде разнообразен и надежден инструментариум за изследване биологическата възраст на различни видове лабораторни животни (мишки, плъхове, морски свинчета, кучета, котки, зайци и др.), имащи сравнително кратка продължителност на живот. Този инструментариум  позволява да се проучва влиянието на различните фактори (температурата, храненето, облъчването и пр.) върху жизнените им  процеси и на тази основа да  се извлекат едни или други изводи по отношение на  човека. Значението на подобни изследвания не се състои само в това, че те допринасят за по-доброто разбиране на механизмите на стареенето. Не по-малко важно е тяхното значение за практическата намеса в  тези процеси с оглед забавянето им. Установено е, че много прояви на стареенето при човека са сходни с тези на лабораторните животни. Общото понижаване на работоспособността и на приспособимостта в процеса на стареенето се наблюдава както при човека, така и при висшите животни, при насекомите. Възрастовото понижаване на активността на жлезите с вътрешна секреция, увеличаването на честотата на соматичните мутации, изменението на съединителната тъкан и много други са характерни явления на процесите на стареене и при хората, и при животните. Именно експериментите с животни благоприятстват за обогатяване на знанията ни за закономерните прояви на стареенето на тъканно, клетъчно и молекулярно равнища. </w:t>
      </w:r>
    </w:p>
    <w:p>
      <w:pPr>
        <w:pStyle w:val="Heading3"/>
        <w:jc w:val="both"/>
        <w:rPr>
          <w:b w:val="false"/>
          <w:b w:val="false"/>
          <w:lang w:val="bg-BG"/>
        </w:rPr>
      </w:pPr>
      <w:r>
        <w:rPr>
          <w:b w:val="false"/>
          <w:lang w:val="bg-BG"/>
        </w:rPr>
        <w:t xml:space="preserve">Ако биологичната възраст изостава от календарната, то налице са възможности за дълголетие. Ако биологичната възраст изпреварва календарната в темпа на стареенето, то процесът на стареене се развива преждевременно. </w:t>
      </w:r>
    </w:p>
    <w:p>
      <w:pPr>
        <w:pStyle w:val="Heading3"/>
        <w:jc w:val="both"/>
        <w:rPr/>
      </w:pPr>
      <w:r>
        <w:rPr>
          <w:b w:val="false"/>
          <w:lang w:val="bg-BG"/>
        </w:rPr>
        <w:t>Като надеждни за оценка на възрастовите изменения се предлагат:</w:t>
      </w:r>
    </w:p>
    <w:p>
      <w:pPr>
        <w:pStyle w:val="Heading3"/>
        <w:numPr>
          <w:ilvl w:val="0"/>
          <w:numId w:val="67"/>
        </w:numPr>
        <w:jc w:val="both"/>
        <w:rPr>
          <w:b w:val="false"/>
          <w:b w:val="false"/>
          <w:lang w:val="bg-BG"/>
        </w:rPr>
      </w:pPr>
      <w:r>
        <w:rPr>
          <w:b w:val="false"/>
          <w:lang w:val="bg-BG"/>
        </w:rPr>
        <w:t xml:space="preserve">промени в кожата – пигментация, степени на атрофия, еластичност, поява на бръчки и др.; </w:t>
      </w:r>
    </w:p>
    <w:p>
      <w:pPr>
        <w:pStyle w:val="Heading3"/>
        <w:numPr>
          <w:ilvl w:val="0"/>
          <w:numId w:val="67"/>
        </w:numPr>
        <w:jc w:val="both"/>
        <w:rPr>
          <w:b w:val="false"/>
          <w:b w:val="false"/>
          <w:lang w:val="bg-BG"/>
        </w:rPr>
      </w:pPr>
      <w:r>
        <w:rPr>
          <w:b w:val="false"/>
          <w:lang w:val="bg-BG"/>
        </w:rPr>
        <w:t xml:space="preserve">промени в зрителния анализатор – промяна на акомодацията, светлинно-мускулен тест по Байяр и др.; </w:t>
      </w:r>
    </w:p>
    <w:p>
      <w:pPr>
        <w:pStyle w:val="Heading3"/>
        <w:numPr>
          <w:ilvl w:val="0"/>
          <w:numId w:val="67"/>
        </w:numPr>
        <w:jc w:val="both"/>
        <w:rPr>
          <w:b w:val="false"/>
          <w:b w:val="false"/>
          <w:lang w:val="bg-BG"/>
        </w:rPr>
      </w:pPr>
      <w:r>
        <w:rPr>
          <w:b w:val="false"/>
          <w:lang w:val="bg-BG"/>
        </w:rPr>
        <w:t xml:space="preserve">промени в слуховия анализатор – прагова и надпрагова аудиометрия, говорна аудиометрия и др.; </w:t>
      </w:r>
    </w:p>
    <w:p>
      <w:pPr>
        <w:pStyle w:val="Heading3"/>
        <w:numPr>
          <w:ilvl w:val="0"/>
          <w:numId w:val="67"/>
        </w:numPr>
        <w:jc w:val="both"/>
        <w:rPr>
          <w:b w:val="false"/>
          <w:b w:val="false"/>
          <w:lang w:val="bg-BG"/>
        </w:rPr>
      </w:pPr>
      <w:r>
        <w:rPr>
          <w:b w:val="false"/>
          <w:lang w:val="bg-BG"/>
        </w:rPr>
        <w:t>промени във физическото развитие и дееспособност – ръст, тегло, параметри на гръден кош, телесна сила, сила на ръцете, и др.;</w:t>
      </w:r>
    </w:p>
    <w:p>
      <w:pPr>
        <w:pStyle w:val="Heading3"/>
        <w:numPr>
          <w:ilvl w:val="0"/>
          <w:numId w:val="67"/>
        </w:numPr>
        <w:jc w:val="both"/>
        <w:rPr>
          <w:b w:val="false"/>
          <w:b w:val="false"/>
          <w:lang w:val="bg-BG"/>
        </w:rPr>
      </w:pPr>
      <w:r>
        <w:rPr>
          <w:b w:val="false"/>
          <w:lang w:val="bg-BG"/>
        </w:rPr>
        <w:t xml:space="preserve">промени в сърдечно-съдовата система – артериално налягане, пулсова честота,  и др. ; </w:t>
      </w:r>
    </w:p>
    <w:p>
      <w:pPr>
        <w:pStyle w:val="Heading3"/>
        <w:numPr>
          <w:ilvl w:val="0"/>
          <w:numId w:val="67"/>
        </w:numPr>
        <w:jc w:val="both"/>
        <w:rPr>
          <w:b w:val="false"/>
          <w:b w:val="false"/>
          <w:lang w:val="bg-BG"/>
        </w:rPr>
      </w:pPr>
      <w:r>
        <w:rPr>
          <w:b w:val="false"/>
          <w:lang w:val="bg-BG"/>
        </w:rPr>
        <w:t xml:space="preserve">промени в дишането – витален капацитет, честота на дишане, кислородна консумация, белодробни дебити, остатъчен обем, механика на дишането и др.; </w:t>
      </w:r>
    </w:p>
    <w:p>
      <w:pPr>
        <w:pStyle w:val="Heading3"/>
        <w:numPr>
          <w:ilvl w:val="0"/>
          <w:numId w:val="67"/>
        </w:numPr>
        <w:jc w:val="both"/>
        <w:rPr>
          <w:b w:val="false"/>
          <w:b w:val="false"/>
          <w:lang w:val="bg-BG"/>
        </w:rPr>
      </w:pPr>
      <w:r>
        <w:rPr>
          <w:b w:val="false"/>
          <w:lang w:val="bg-BG"/>
        </w:rPr>
        <w:t>промени във висшата нервна дейност и психиката – време на проста двигателна реакция на светлина, тепинг-тест, речников тест, въпросник за личност и др.;</w:t>
      </w:r>
    </w:p>
    <w:p>
      <w:pPr>
        <w:pStyle w:val="Heading3"/>
        <w:numPr>
          <w:ilvl w:val="0"/>
          <w:numId w:val="67"/>
        </w:numPr>
        <w:jc w:val="both"/>
        <w:rPr>
          <w:b w:val="false"/>
          <w:b w:val="false"/>
          <w:lang w:val="bg-BG"/>
        </w:rPr>
      </w:pPr>
      <w:r>
        <w:rPr>
          <w:b w:val="false"/>
          <w:lang w:val="bg-BG"/>
        </w:rPr>
        <w:t xml:space="preserve">биохимични и цитохимични изследвания – кръвна картина, биохимия, изследване на урината и др. ; </w:t>
      </w:r>
    </w:p>
    <w:p>
      <w:pPr>
        <w:pStyle w:val="Heading3"/>
        <w:numPr>
          <w:ilvl w:val="0"/>
          <w:numId w:val="67"/>
        </w:numPr>
        <w:jc w:val="both"/>
        <w:rPr>
          <w:b w:val="false"/>
          <w:b w:val="false"/>
          <w:lang w:val="bg-BG"/>
        </w:rPr>
      </w:pPr>
      <w:r>
        <w:rPr>
          <w:b w:val="false"/>
          <w:lang w:val="bg-BG"/>
        </w:rPr>
        <w:t xml:space="preserve">рентгенография на гръден  кош, гръбначен стълб, на големите стави и таза и др.   </w:t>
      </w:r>
    </w:p>
    <w:p>
      <w:pPr>
        <w:pStyle w:val="Heading3"/>
        <w:jc w:val="both"/>
        <w:rPr/>
      </w:pPr>
      <w:r>
        <w:rPr>
          <w:b w:val="false"/>
          <w:lang w:val="bg-BG"/>
        </w:rPr>
        <w:t xml:space="preserve">Различните тестове за измерване на биологическата възраст се основават главно на едни или други характеристики на остаряващия организъм, като например намаляване на процесите на регенерация, възстановяване, обновяване, намаляване на реактивността и възможностите на организма за адаптация спрямо променящите се условия на средата. Те могат да бъдат от морфологично или функционално естество. Според някои автори </w:t>
      </w:r>
      <w:r>
        <w:rPr>
          <w:lang w:val="bg-BG"/>
        </w:rPr>
        <w:t>най-точният тест за определяне на биологичната</w:t>
      </w:r>
      <w:r>
        <w:rPr>
          <w:b w:val="false"/>
          <w:lang w:val="bg-BG"/>
        </w:rPr>
        <w:t xml:space="preserve"> </w:t>
      </w:r>
      <w:r>
        <w:rPr>
          <w:lang w:val="bg-BG"/>
        </w:rPr>
        <w:t>възраст</w:t>
      </w:r>
      <w:r>
        <w:rPr>
          <w:b w:val="false"/>
          <w:lang w:val="bg-BG"/>
        </w:rPr>
        <w:t xml:space="preserve"> се основава на определянето на активната протоплазмена маса, чрез определяне на концентрацията на вътреклетъчния калий в цялото тяло.  За целите на практиката се проучват по-важните промени, засягащи различните тъкани и органи и функционалното им състояние. Например Р.А. </w:t>
      </w:r>
      <w:r>
        <w:rPr>
          <w:lang w:val="bg-BG"/>
        </w:rPr>
        <w:t xml:space="preserve">Конард </w:t>
      </w:r>
      <w:r>
        <w:rPr>
          <w:b w:val="false"/>
          <w:lang w:val="bg-BG"/>
        </w:rPr>
        <w:t>предлага следните критерии:</w:t>
      </w:r>
    </w:p>
    <w:p>
      <w:pPr>
        <w:pStyle w:val="Heading3"/>
        <w:ind w:left="60" w:firstLine="567"/>
        <w:jc w:val="both"/>
        <w:rPr>
          <w:lang w:val="bg-BG"/>
        </w:rPr>
      </w:pPr>
      <w:r>
        <w:rPr>
          <w:lang w:val="bg-BG"/>
        </w:rPr>
        <w:t xml:space="preserve">1. </w:t>
      </w:r>
      <w:r>
        <w:rPr>
          <w:b w:val="false"/>
          <w:lang w:val="bg-BG"/>
        </w:rPr>
        <w:t>Кожни признаци (5 на брой).</w:t>
      </w:r>
    </w:p>
    <w:p>
      <w:pPr>
        <w:pStyle w:val="Heading3"/>
        <w:ind w:left="60" w:firstLine="567"/>
        <w:jc w:val="both"/>
        <w:rPr/>
      </w:pPr>
      <w:r>
        <w:rPr>
          <w:lang w:val="bg-BG"/>
        </w:rPr>
        <w:t xml:space="preserve">2. </w:t>
      </w:r>
      <w:r>
        <w:rPr>
          <w:b w:val="false"/>
          <w:lang w:val="bg-BG"/>
        </w:rPr>
        <w:t>Сетивни органи (4 на брой</w:t>
      </w:r>
    </w:p>
    <w:p>
      <w:pPr>
        <w:pStyle w:val="Heading3"/>
        <w:ind w:left="60" w:firstLine="567"/>
        <w:jc w:val="both"/>
        <w:rPr>
          <w:b w:val="false"/>
          <w:b w:val="false"/>
          <w:lang w:val="bg-BG"/>
        </w:rPr>
      </w:pPr>
      <w:r>
        <w:rPr>
          <w:b w:val="false"/>
          <w:lang w:val="bg-BG"/>
        </w:rPr>
        <w:t xml:space="preserve">3.Сърдечно-съдов апарат (3 теста). </w:t>
      </w:r>
    </w:p>
    <w:p>
      <w:pPr>
        <w:pStyle w:val="Heading3"/>
        <w:ind w:left="60" w:firstLine="567"/>
        <w:jc w:val="both"/>
        <w:rPr>
          <w:b w:val="false"/>
          <w:b w:val="false"/>
          <w:lang w:val="bg-BG"/>
        </w:rPr>
      </w:pPr>
      <w:r>
        <w:rPr>
          <w:b w:val="false"/>
          <w:lang w:val="bg-BG"/>
        </w:rPr>
        <w:t xml:space="preserve">4. Нервно-мускулни функционални тестове ( 2 на брой). </w:t>
      </w:r>
    </w:p>
    <w:p>
      <w:pPr>
        <w:pStyle w:val="Heading3"/>
        <w:ind w:left="60" w:firstLine="567"/>
        <w:jc w:val="both"/>
        <w:rPr/>
      </w:pPr>
      <w:r>
        <w:rPr>
          <w:b w:val="false"/>
          <w:lang w:val="bg-BG"/>
        </w:rPr>
        <w:t xml:space="preserve">Школата на </w:t>
      </w:r>
      <w:r>
        <w:rPr>
          <w:lang w:val="bg-BG"/>
        </w:rPr>
        <w:t>Базел</w:t>
      </w:r>
      <w:r>
        <w:rPr>
          <w:b w:val="false"/>
          <w:lang w:val="bg-BG"/>
        </w:rPr>
        <w:t xml:space="preserve"> използва следните методи: </w:t>
      </w:r>
    </w:p>
    <w:p>
      <w:pPr>
        <w:pStyle w:val="Heading3"/>
        <w:numPr>
          <w:ilvl w:val="0"/>
          <w:numId w:val="48"/>
        </w:numPr>
        <w:tabs>
          <w:tab w:val="clear" w:pos="284"/>
          <w:tab w:val="left" w:pos="987" w:leader="none"/>
        </w:tabs>
        <w:ind w:left="987" w:hanging="360"/>
        <w:jc w:val="both"/>
        <w:rPr>
          <w:b w:val="false"/>
          <w:b w:val="false"/>
          <w:lang w:val="bg-BG"/>
        </w:rPr>
      </w:pPr>
      <w:r>
        <w:rPr>
          <w:b w:val="false"/>
          <w:lang w:val="bg-BG"/>
        </w:rPr>
        <w:t>Клинични изследвания (височина, тегло, витален капацитет, ЕКГ и др.).</w:t>
      </w:r>
    </w:p>
    <w:p>
      <w:pPr>
        <w:pStyle w:val="Heading3"/>
        <w:numPr>
          <w:ilvl w:val="0"/>
          <w:numId w:val="48"/>
        </w:numPr>
        <w:tabs>
          <w:tab w:val="clear" w:pos="284"/>
          <w:tab w:val="left" w:pos="987" w:leader="none"/>
        </w:tabs>
        <w:ind w:left="987" w:hanging="360"/>
        <w:jc w:val="both"/>
        <w:rPr>
          <w:b w:val="false"/>
          <w:b w:val="false"/>
          <w:lang w:val="bg-BG"/>
        </w:rPr>
      </w:pPr>
      <w:r>
        <w:rPr>
          <w:b w:val="false"/>
          <w:lang w:val="bg-BG"/>
        </w:rPr>
        <w:t xml:space="preserve">Офталмологични изследвания. </w:t>
      </w:r>
    </w:p>
    <w:p>
      <w:pPr>
        <w:pStyle w:val="Heading3"/>
        <w:numPr>
          <w:ilvl w:val="0"/>
          <w:numId w:val="48"/>
        </w:numPr>
        <w:tabs>
          <w:tab w:val="clear" w:pos="284"/>
          <w:tab w:val="left" w:pos="987" w:leader="none"/>
        </w:tabs>
        <w:ind w:left="987" w:hanging="360"/>
        <w:jc w:val="both"/>
        <w:rPr>
          <w:b w:val="false"/>
          <w:b w:val="false"/>
          <w:lang w:val="bg-BG"/>
        </w:rPr>
      </w:pPr>
      <w:r>
        <w:rPr>
          <w:b w:val="false"/>
          <w:lang w:val="bg-BG"/>
        </w:rPr>
        <w:t xml:space="preserve">Физиологични изследвания. </w:t>
      </w:r>
    </w:p>
    <w:p>
      <w:pPr>
        <w:pStyle w:val="Heading3"/>
        <w:numPr>
          <w:ilvl w:val="0"/>
          <w:numId w:val="48"/>
        </w:numPr>
        <w:tabs>
          <w:tab w:val="clear" w:pos="284"/>
          <w:tab w:val="left" w:pos="987" w:leader="none"/>
        </w:tabs>
        <w:ind w:left="987" w:hanging="360"/>
        <w:jc w:val="both"/>
        <w:rPr>
          <w:b w:val="false"/>
          <w:b w:val="false"/>
          <w:lang w:val="bg-BG"/>
        </w:rPr>
      </w:pPr>
      <w:r>
        <w:rPr>
          <w:b w:val="false"/>
          <w:lang w:val="bg-BG"/>
        </w:rPr>
        <w:t xml:space="preserve">Дерматологични изследвания. </w:t>
      </w:r>
    </w:p>
    <w:p>
      <w:pPr>
        <w:pStyle w:val="Heading3"/>
        <w:numPr>
          <w:ilvl w:val="0"/>
          <w:numId w:val="48"/>
        </w:numPr>
        <w:tabs>
          <w:tab w:val="clear" w:pos="284"/>
          <w:tab w:val="left" w:pos="987" w:leader="none"/>
        </w:tabs>
        <w:ind w:left="987" w:hanging="360"/>
        <w:jc w:val="both"/>
        <w:rPr>
          <w:b w:val="false"/>
          <w:b w:val="false"/>
          <w:lang w:val="bg-BG"/>
        </w:rPr>
      </w:pPr>
      <w:r>
        <w:rPr>
          <w:b w:val="false"/>
          <w:lang w:val="bg-BG"/>
        </w:rPr>
        <w:t xml:space="preserve">Психологични изследвания.  </w:t>
      </w:r>
    </w:p>
    <w:p>
      <w:pPr>
        <w:pStyle w:val="Normal"/>
        <w:rPr>
          <w:b/>
          <w:b/>
          <w:lang w:val="en-US"/>
        </w:rPr>
      </w:pPr>
      <w:r>
        <w:rPr>
          <w:b/>
          <w:lang w:val="en-US"/>
        </w:rPr>
      </w:r>
    </w:p>
    <w:p>
      <w:pPr>
        <w:pStyle w:val="Heading3"/>
        <w:jc w:val="both"/>
        <w:rPr/>
      </w:pPr>
      <w:r>
        <w:rPr>
          <w:b w:val="false"/>
          <w:lang w:val="bg-BG"/>
        </w:rPr>
        <w:t xml:space="preserve">Тясно свързана с индивидуалната е </w:t>
      </w:r>
      <w:r>
        <w:rPr>
          <w:lang w:val="bg-BG"/>
        </w:rPr>
        <w:t>средната продължителност на живота</w:t>
      </w:r>
      <w:r>
        <w:rPr>
          <w:b w:val="false"/>
          <w:lang w:val="bg-BG"/>
        </w:rPr>
        <w:t xml:space="preserve">. В различните исторически периоди, както и в различните страни и географски области средната продължителност на различните слоеве от населението не е неизменна величина. Наред с наследствените фактори върху нея определено влияние  оказват социално-икономическите условия на живот, държавно-политическото устройство на обществото, материалното благосъстояние на едни или  други човешки общности и пр.  Откроява се тенденцията за постепенно увеличаване на средната продължителност на живота, като в по-ранните исторически времена нейните темпове за нарастване са почти незабележими, докато на съвременния етап те ярко се очертават. Така например през каменната ера средната продължителност на живота на човека е била около 19 години. През бронзовия век те е около 21,5 години. По време на европейската античност е между 20 и 30 години. През ХVІ век е около 27,5 години; през ХVІІ век – около 29 години; през ХVІІІ век – около 28,5 години. През ХІХ век е както следва: в периода 1801-1880 – 35,58 години; в периода 1891-1900 – 40,56 години. През ХХ век е: в периода 1900-1910  -  44,82 години; в периода 1924-1926 – 55,97 ; в периода 1932-1936 – 59,85; в периода 1946-1947 – 57,72.  </w:t>
      </w:r>
    </w:p>
    <w:p>
      <w:pPr>
        <w:pStyle w:val="Heading3"/>
        <w:jc w:val="both"/>
        <w:rPr/>
      </w:pPr>
      <w:r>
        <w:rPr>
          <w:lang w:val="bg-BG"/>
        </w:rPr>
        <w:t xml:space="preserve">Максималната продължителност на живота (потенциалното дълголетие) </w:t>
      </w:r>
      <w:r>
        <w:rPr>
          <w:b w:val="false"/>
          <w:lang w:val="bg-BG"/>
        </w:rPr>
        <w:t xml:space="preserve">е онази горна граница на календарната възраст, която може да бъде достигната от представителите на даден биологичен вид. При хората  дълголетници наричаме онези лица, чиято календарна възраст е над 90 години. Шансовете да се достигне до дълголетие зависят от темповете на биологичното стареене, при което календарната възраст значително изпреварва биологичната. </w:t>
      </w:r>
    </w:p>
    <w:p>
      <w:pPr>
        <w:pStyle w:val="Heading2"/>
        <w:spacing w:lineRule="auto" w:line="240"/>
        <w:rPr/>
      </w:pPr>
      <w:bookmarkStart w:id="14" w:name="__RefHeading___Toc89859675"/>
      <w:bookmarkEnd w:id="14"/>
      <w:r>
        <w:rPr/>
        <w:t>3.6. Проблемът за забавяне на процесите на стареенето и увеличаване на продължителността на живота. “Вечният” проблем за смъртта и дълголетието (безсмъртието)</w:t>
      </w:r>
    </w:p>
    <w:p>
      <w:pPr>
        <w:pStyle w:val="Heading3"/>
        <w:keepNext w:val="true"/>
        <w:keepLines/>
        <w:spacing w:lineRule="auto" w:line="252"/>
        <w:jc w:val="both"/>
        <w:rPr/>
      </w:pPr>
      <w:r>
        <w:rPr>
          <w:b w:val="false"/>
          <w:lang w:val="bg-BG"/>
        </w:rPr>
        <w:t xml:space="preserve">Продължителността на живота на човека е </w:t>
      </w:r>
      <w:r>
        <w:rPr>
          <w:lang w:val="bg-BG"/>
        </w:rPr>
        <w:t>генетично детерминирана</w:t>
      </w:r>
      <w:r>
        <w:rPr>
          <w:b w:val="false"/>
          <w:lang w:val="bg-BG"/>
        </w:rPr>
        <w:t xml:space="preserve">, но тази детерминация не бива да се абсолютизира. Върху </w:t>
      </w:r>
      <w:r>
        <w:rPr>
          <w:lang w:val="bg-BG"/>
        </w:rPr>
        <w:t>удължаването на човешкия</w:t>
      </w:r>
      <w:r>
        <w:rPr>
          <w:b w:val="false"/>
          <w:lang w:val="bg-BG"/>
        </w:rPr>
        <w:t xml:space="preserve"> </w:t>
      </w:r>
      <w:r>
        <w:rPr>
          <w:lang w:val="bg-BG"/>
        </w:rPr>
        <w:t>живот</w:t>
      </w:r>
      <w:r>
        <w:rPr>
          <w:b w:val="false"/>
          <w:lang w:val="bg-BG"/>
        </w:rPr>
        <w:t xml:space="preserve">, респективно върху забавянето на процесите на стареене съществено влияние могат да окажат различните природни и социални фактори и условия – материално и културно благосъстояние, рационален начин на живот, екологична среда, научни постижения на медицинската наука и практическото здравеопазване и др.  Всъщност </w:t>
      </w:r>
      <w:r>
        <w:rPr>
          <w:lang w:val="bg-BG"/>
        </w:rPr>
        <w:t>мечтата за дълъг живот, за безкраен живот, за вечна младост</w:t>
      </w:r>
      <w:r>
        <w:rPr>
          <w:b w:val="false"/>
          <w:lang w:val="bg-BG"/>
        </w:rPr>
        <w:t xml:space="preserve"> е стара и никога не преставаща да съществува мечта. Различните елексири и амбриозии на древногръцките богове, както и “свещеното изкуство” на средновековните алхимици, не са имали друго предназначение освен удължаването на живота. Огромни са и усилията на съвременната медицина да изучи механизмите за удължаване на живота, за забавяне или отлагане във времето на процесите на стареенето. Но засега тя е успяла да удължи главно нерадостния старчески период от живота на човека, което не е толкова голям успех, нито е в състояние да “успокои” съвременния човек. Понастоящем все повече учени обръщат своя поглед към новоизграждащата се наука </w:t>
      </w:r>
      <w:r>
        <w:rPr>
          <w:lang w:val="bg-BG"/>
        </w:rPr>
        <w:t xml:space="preserve">ювентология </w:t>
      </w:r>
      <w:r>
        <w:rPr>
          <w:b w:val="false"/>
          <w:lang w:val="bg-BG"/>
        </w:rPr>
        <w:t xml:space="preserve"> (наука за удължаване на младостта). </w:t>
      </w:r>
    </w:p>
    <w:p>
      <w:pPr>
        <w:pStyle w:val="Heading3"/>
        <w:spacing w:lineRule="auto" w:line="252"/>
        <w:jc w:val="both"/>
        <w:rPr/>
      </w:pPr>
      <w:r>
        <w:rPr>
          <w:b w:val="false"/>
          <w:lang w:val="bg-BG"/>
        </w:rPr>
        <w:t xml:space="preserve">Откакто човек е станал разумно същество, той е започнал да се стреми към удължаване на живота си (13, с.375 и сл). В продължение на много векове и хилядолетия този стремеж обаче си остава мит, мечта, която е вдъхновявала поетите, но лесно е рухвала, сблъсквайки се с “жестоката” действителност. Жалбата на хората срещу “краткия” живот също не е от вчера. Тя е вървяла ръка за ръка с общо взето неуспешния стремеж да се удължи животът на човека. Древните култури са оставили много сведения, че това недоволство датира “открай време”. И не само “тълпата” се е оплаквала от краткостта на живота. Прочути и мъдри люде също не са правили изключение в това отношение. Така например първият афоризъм на древногръцкия лекар </w:t>
      </w:r>
      <w:r>
        <w:rPr>
          <w:lang w:val="bg-BG"/>
        </w:rPr>
        <w:t>Хипократ</w:t>
      </w:r>
      <w:r>
        <w:rPr>
          <w:b w:val="false"/>
          <w:lang w:val="bg-BG"/>
        </w:rPr>
        <w:t xml:space="preserve"> започва по следния начин: “</w:t>
      </w:r>
      <w:r>
        <w:rPr>
          <w:lang w:val="bg-BG"/>
        </w:rPr>
        <w:t>Ars longa,vita brevis</w:t>
      </w:r>
      <w:r>
        <w:rPr>
          <w:b w:val="false"/>
          <w:lang w:val="bg-BG"/>
        </w:rPr>
        <w:t xml:space="preserve">  (est) … (Животът е кратък, изкуството – дълговечно). Този афоризъм е станал крилата фраза и в латинския му превод      (</w:t>
      </w:r>
      <w:r>
        <w:rPr>
          <w:lang w:val="bg-BG"/>
        </w:rPr>
        <w:t>Vita brevis, ars vero</w:t>
      </w:r>
      <w:r>
        <w:rPr>
          <w:b w:val="false"/>
          <w:lang w:val="bg-BG"/>
        </w:rPr>
        <w:t xml:space="preserve"> </w:t>
      </w:r>
      <w:r>
        <w:rPr>
          <w:lang w:val="bg-BG"/>
        </w:rPr>
        <w:t>longa</w:t>
      </w:r>
      <w:r>
        <w:rPr>
          <w:b w:val="false"/>
          <w:lang w:val="bg-BG"/>
        </w:rPr>
        <w:t xml:space="preserve">) и е повтарян многократно от поети, писатели, философи. Трагикът </w:t>
      </w:r>
      <w:r>
        <w:rPr>
          <w:lang w:val="bg-BG"/>
        </w:rPr>
        <w:t xml:space="preserve">Еврипид </w:t>
      </w:r>
      <w:r>
        <w:rPr>
          <w:b w:val="false"/>
          <w:lang w:val="bg-BG"/>
        </w:rPr>
        <w:t>в драмата си “Медея” изразява своето песимистично отношение към живота:</w:t>
      </w:r>
    </w:p>
    <w:p>
      <w:pPr>
        <w:pStyle w:val="Heading3"/>
        <w:jc w:val="both"/>
        <w:rPr>
          <w:b w:val="false"/>
          <w:b w:val="false"/>
          <w:lang w:val="bg-BG"/>
        </w:rPr>
      </w:pPr>
      <w:r>
        <w:rPr>
          <w:b w:val="false"/>
          <w:lang w:val="bg-BG"/>
        </w:rPr>
      </w:r>
    </w:p>
    <w:p>
      <w:pPr>
        <w:pStyle w:val="Heading3"/>
        <w:jc w:val="both"/>
        <w:rPr>
          <w:b w:val="false"/>
          <w:b w:val="false"/>
          <w:lang w:val="bg-BG"/>
        </w:rPr>
      </w:pPr>
      <w:r>
        <w:rPr>
          <w:b w:val="false"/>
          <w:lang w:val="bg-BG"/>
        </w:rPr>
        <w:t>“</w:t>
      </w:r>
      <w:r>
        <w:rPr>
          <w:b w:val="false"/>
          <w:lang w:val="bg-BG"/>
        </w:rPr>
        <w:t>Да, нашият живот е само сянка; не за първи път</w:t>
      </w:r>
    </w:p>
    <w:p>
      <w:pPr>
        <w:pStyle w:val="Heading3"/>
        <w:jc w:val="both"/>
        <w:rPr>
          <w:b w:val="false"/>
          <w:b w:val="false"/>
          <w:lang w:val="bg-BG"/>
        </w:rPr>
      </w:pPr>
      <w:r>
        <w:rPr>
          <w:b w:val="false"/>
          <w:lang w:val="bg-BG"/>
        </w:rPr>
        <w:t xml:space="preserve">аз в това се убеждавам. Не се плаша </w:t>
      </w:r>
    </w:p>
    <w:p>
      <w:pPr>
        <w:pStyle w:val="Heading3"/>
        <w:jc w:val="both"/>
        <w:rPr>
          <w:b w:val="false"/>
          <w:b w:val="false"/>
          <w:lang w:val="bg-BG"/>
        </w:rPr>
      </w:pPr>
      <w:r>
        <w:rPr>
          <w:b w:val="false"/>
          <w:lang w:val="bg-BG"/>
        </w:rPr>
        <w:t>да добавя аз още, че който счита</w:t>
      </w:r>
    </w:p>
    <w:p>
      <w:pPr>
        <w:pStyle w:val="Heading3"/>
        <w:jc w:val="both"/>
        <w:rPr>
          <w:b w:val="false"/>
          <w:b w:val="false"/>
          <w:lang w:val="bg-BG"/>
        </w:rPr>
      </w:pPr>
      <w:r>
        <w:rPr>
          <w:b w:val="false"/>
          <w:lang w:val="bg-BG"/>
        </w:rPr>
        <w:t xml:space="preserve">или за мъдрец себе си, или че дълбоко </w:t>
      </w:r>
    </w:p>
    <w:p>
      <w:pPr>
        <w:pStyle w:val="Heading3"/>
        <w:jc w:val="both"/>
        <w:rPr>
          <w:b w:val="false"/>
          <w:b w:val="false"/>
          <w:lang w:val="bg-BG"/>
        </w:rPr>
      </w:pPr>
      <w:r>
        <w:rPr>
          <w:b w:val="false"/>
          <w:lang w:val="bg-BG"/>
        </w:rPr>
        <w:t xml:space="preserve">е проникнал в тайната на живота, е заслужил </w:t>
      </w:r>
    </w:p>
    <w:p>
      <w:pPr>
        <w:pStyle w:val="Heading3"/>
        <w:jc w:val="both"/>
        <w:rPr>
          <w:b w:val="false"/>
          <w:b w:val="false"/>
          <w:lang w:val="bg-BG"/>
        </w:rPr>
      </w:pPr>
      <w:r>
        <w:rPr>
          <w:b w:val="false"/>
          <w:lang w:val="bg-BG"/>
        </w:rPr>
        <w:t xml:space="preserve">названието безумец. Щастлив смъртният  </w:t>
      </w:r>
    </w:p>
    <w:p>
      <w:pPr>
        <w:pStyle w:val="Heading3"/>
        <w:jc w:val="both"/>
        <w:rPr>
          <w:b w:val="false"/>
          <w:b w:val="false"/>
        </w:rPr>
      </w:pPr>
      <w:r>
        <w:rPr>
          <w:b w:val="false"/>
          <w:lang w:val="bg-BG"/>
        </w:rPr>
        <w:t xml:space="preserve">не може да бъде…”          </w:t>
      </w:r>
    </w:p>
    <w:p>
      <w:pPr>
        <w:pStyle w:val="Heading3"/>
        <w:jc w:val="both"/>
        <w:rPr>
          <w:b w:val="false"/>
          <w:b w:val="false"/>
        </w:rPr>
      </w:pPr>
      <w:r>
        <w:rPr>
          <w:b w:val="false"/>
        </w:rPr>
      </w:r>
    </w:p>
    <w:p>
      <w:pPr>
        <w:pStyle w:val="Heading3"/>
        <w:jc w:val="both"/>
        <w:rPr/>
      </w:pPr>
      <w:r>
        <w:rPr>
          <w:lang w:val="bg-BG"/>
        </w:rPr>
        <w:t xml:space="preserve">Аристотел </w:t>
      </w:r>
      <w:r>
        <w:rPr>
          <w:b w:val="false"/>
          <w:lang w:val="bg-BG"/>
        </w:rPr>
        <w:t xml:space="preserve">също е смятал, че животът на човека   е кратък. </w:t>
      </w:r>
      <w:r>
        <w:rPr>
          <w:lang w:val="bg-BG"/>
        </w:rPr>
        <w:t>Цицерон</w:t>
      </w:r>
      <w:r>
        <w:rPr>
          <w:b w:val="false"/>
          <w:lang w:val="bg-BG"/>
        </w:rPr>
        <w:t xml:space="preserve"> казва, че на старини </w:t>
      </w:r>
      <w:r>
        <w:rPr>
          <w:lang w:val="bg-BG"/>
        </w:rPr>
        <w:t xml:space="preserve">Теофраст </w:t>
      </w:r>
      <w:r>
        <w:rPr>
          <w:b w:val="false"/>
          <w:lang w:val="bg-BG"/>
        </w:rPr>
        <w:t xml:space="preserve">се е оплаквал от природата затова, че е дарила с дълъг живот елените и враните, а на хората, които най-много заслужават, е отредила съвсем кратък живот, въпреки че за тях е много важно да живеят дълго. Ако човешкият живот е по-продължителен, хората ще могат да се доберат до едно универсално учение за света, а всички науки и изкуства биха могли да достигнат своето съвършенство.  Свети </w:t>
      </w:r>
      <w:r>
        <w:rPr>
          <w:lang w:val="bg-BG"/>
        </w:rPr>
        <w:t>Йероним</w:t>
      </w:r>
      <w:r>
        <w:rPr>
          <w:b w:val="false"/>
          <w:lang w:val="bg-BG"/>
        </w:rPr>
        <w:t xml:space="preserve"> твърди, че </w:t>
      </w:r>
      <w:r>
        <w:rPr>
          <w:lang w:val="bg-BG"/>
        </w:rPr>
        <w:t>Теофраст</w:t>
      </w:r>
      <w:r>
        <w:rPr>
          <w:b w:val="false"/>
          <w:lang w:val="bg-BG"/>
        </w:rPr>
        <w:t xml:space="preserve"> е живял 107 г., но въпреки това, когато при смъртта му го запитали многобройните му ученици има ли нещо в живота, за което да съжалява, той отговорил, че съжалява, загдето умира в момент едва когато е започнал да става мъдър. Известна е мисълта на Цицерон: “всичко, което има някакъв край, на мен не ми се вижда продължително”. </w:t>
      </w:r>
    </w:p>
    <w:p>
      <w:pPr>
        <w:pStyle w:val="Heading3"/>
        <w:jc w:val="both"/>
        <w:rPr/>
      </w:pPr>
      <w:r>
        <w:rPr>
          <w:b w:val="false"/>
          <w:lang w:val="bg-BG"/>
        </w:rPr>
        <w:t xml:space="preserve">Макар от времето на Еврипид, на Хипократ, на Теофраст и Цицерон до наши дни да са изминали много години, жалбите на хората срещу краткостта на живота не са престанали. През последните столетия средната продължителност на живота на хората непрекъснато се е увеличавала, но отчаянието на съвременния човек не е по-малко от това на древните. Заслужава внимание мнението, че чувството за дълъг живот до голяма степен зависи от броя на събитията и тяхното съдържание и по-малко от астрономическата продължителност на времето. Ако ние организираме живота си така, че да изживяваме повече събития и дейности и по-приятни минути, часове, дни, седмици, месеци и години, прекарани в любими дейности, в желани контакти, в приятни очаквания и пр., то бихме могли по този начин значително да си “удължим” живота. С други думи, организацията на обществения и на личния ни живот може да осигури по-добри възможности за удължаване на живота. Човек трябва да привикне да цени повече настоящето, което е единственият реален момент, с който  той разполага. Това е така,  защото на него никой не дава гаранции колко време му остава да живее, независимо от тенденцията за увеличаване на средната продължителност на живота. Защото за смъртта няма нито твърде млади, нито твърде здрави. Понякога тя не щади нито младостта, нито   виталността.  </w:t>
      </w:r>
    </w:p>
    <w:p>
      <w:pPr>
        <w:pStyle w:val="Heading3"/>
        <w:jc w:val="both"/>
        <w:rPr/>
      </w:pPr>
      <w:r>
        <w:rPr>
          <w:b w:val="false"/>
          <w:lang w:val="bg-BG"/>
        </w:rPr>
        <w:t xml:space="preserve">Необходимо е да обърнем внимание и на едно твърде нетрадиционно схващане по въпроса за продължителността на живота. В миналото енциклопедистът </w:t>
      </w:r>
      <w:r>
        <w:rPr>
          <w:lang w:val="bg-BG"/>
        </w:rPr>
        <w:t>Кондорсе</w:t>
      </w:r>
      <w:r>
        <w:rPr>
          <w:b w:val="false"/>
          <w:lang w:val="bg-BG"/>
        </w:rPr>
        <w:t xml:space="preserve"> се е питал може ли да допуснем, че усъвършенстването на човешкия вид е неограничено и че в това усъвършенстване ще се стигне до там, че смъртта да бъде или необикновено нещастие (нещастен случай), или резултат от все по-бавното разпадане на жизнените сили на организма и че границите между раждането и това разпадане изобщо не могат да се определят? Според него трябва да вярваме, че средната продължителност на човешкия живот непрекъснато ще се увеличава, докато не й се противопостави някакъв преврат в природата, но ние не знаем каква граница е тя, т.е. продължителността на живота никога няма да може да я прекрачи.  И все пак удължаването на живота, каквото и да бъде то, в крайна сметка няма да доведе до отпадането на проблема за смъртта. В това отношение заслужава внимание мисълта на еволюциониста И.И. </w:t>
      </w:r>
      <w:r>
        <w:rPr>
          <w:lang w:val="bg-BG"/>
        </w:rPr>
        <w:t xml:space="preserve">Шмалхаузен: </w:t>
      </w:r>
      <w:r>
        <w:rPr>
          <w:b w:val="false"/>
          <w:lang w:val="bg-BG"/>
        </w:rPr>
        <w:t xml:space="preserve">“На нас ни се налага да се откажем от превзетата мисъл за “полезността” от дългия живот.” Нито по-продължителният живот може да освободи човека от мисълта за смъртта, нито по принцип е възможна насита от живота и желание за смърт (освен в редки патологични случаи), каквото предполага ортобиозата (начинът на живот) на И. </w:t>
      </w:r>
      <w:r>
        <w:rPr>
          <w:lang w:val="bg-BG"/>
        </w:rPr>
        <w:t xml:space="preserve">Мечников. </w:t>
      </w:r>
      <w:r>
        <w:rPr>
          <w:b w:val="false"/>
          <w:lang w:val="bg-BG"/>
        </w:rPr>
        <w:t xml:space="preserve">Мнозина учени обръщат внимание на въпроса не колко време живее човек, а как той живее… </w:t>
      </w:r>
    </w:p>
    <w:p>
      <w:pPr>
        <w:pStyle w:val="Heading3"/>
        <w:jc w:val="both"/>
        <w:rPr/>
      </w:pPr>
      <w:r>
        <w:rPr>
          <w:b w:val="false"/>
          <w:lang w:val="bg-BG"/>
        </w:rPr>
        <w:t xml:space="preserve">И все пак въпросът  как да бъде удължен животът на човека, как  да се достигне  дълголетие и столетие не престава да вълнува както  обикновените хора, а така  и учените. Обществото винаги се е интересувало от макробиотите (дълголетниците – лицата над 90 години). Отнасяло се е към тях с голяма почит и уважение (14, с. 155 и сл.). Например в Древна Гърция на столетниците се е гледало като на свръхнадарени хора. На тях е било поверявано ръководството на държавата, развитието на науката. Това означавало, че освен мъдрост, те притежавали запазено физическо и психическо здраве. Дълголетието свидетелствувало, а и сега напомня, че е напълно възможно да се удължи човешкият живот. Могат да се приведат много примери за дълголетници, запазили на високо равнище своята жизненост и творчески способности. Л.Н. </w:t>
      </w:r>
      <w:r>
        <w:rPr>
          <w:lang w:val="bg-BG"/>
        </w:rPr>
        <w:t xml:space="preserve">Толстой </w:t>
      </w:r>
      <w:r>
        <w:rPr>
          <w:b w:val="false"/>
          <w:lang w:val="bg-BG"/>
        </w:rPr>
        <w:t xml:space="preserve">се е научил да кара велосипед на 65 години, а на 75 още е карал кънки. На 80 години ежедневно на кон е правил разходки по 20 км. </w:t>
      </w:r>
      <w:r>
        <w:rPr>
          <w:lang w:val="bg-BG"/>
        </w:rPr>
        <w:t>Тициян</w:t>
      </w:r>
      <w:r>
        <w:rPr>
          <w:b w:val="false"/>
          <w:lang w:val="bg-BG"/>
        </w:rPr>
        <w:t xml:space="preserve"> постигнал високо майсторство, когато бил на 75 години, а между 96 и 99 години нарисувал картината “Оплакването на Христов” и създал олтара на храма “Свети Петър” в Рим. </w:t>
      </w:r>
      <w:r>
        <w:rPr>
          <w:lang w:val="bg-BG"/>
        </w:rPr>
        <w:t>Микеланджело</w:t>
      </w:r>
      <w:r>
        <w:rPr>
          <w:b w:val="false"/>
          <w:lang w:val="bg-BG"/>
        </w:rPr>
        <w:t xml:space="preserve">  е работил и завършил знаменитите си картини и фрески в Сикстинската и Паолинската капеала между 60- и 75-годишна възраст. </w:t>
      </w:r>
      <w:r>
        <w:rPr>
          <w:lang w:val="bg-BG"/>
        </w:rPr>
        <w:t>Гьоте</w:t>
      </w:r>
      <w:r>
        <w:rPr>
          <w:b w:val="false"/>
          <w:lang w:val="bg-BG"/>
        </w:rPr>
        <w:t xml:space="preserve"> бил на 80 години, когато съчинява втората част на поемата си  “Фауст”. Също на 80 години Дж. </w:t>
      </w:r>
      <w:r>
        <w:rPr>
          <w:lang w:val="bg-BG"/>
        </w:rPr>
        <w:t>Верди</w:t>
      </w:r>
      <w:r>
        <w:rPr>
          <w:b w:val="false"/>
          <w:lang w:val="bg-BG"/>
        </w:rPr>
        <w:t xml:space="preserve"> създава прекрасни опери. Руският професор по математика Б. </w:t>
      </w:r>
      <w:r>
        <w:rPr>
          <w:lang w:val="bg-BG"/>
        </w:rPr>
        <w:t xml:space="preserve">Букреев </w:t>
      </w:r>
      <w:r>
        <w:rPr>
          <w:b w:val="false"/>
          <w:lang w:val="bg-BG"/>
        </w:rPr>
        <w:t xml:space="preserve">на сто години още четял лекции в Киевския университет. С високо творческо вдъхновение са работили и създавали шедьоври за човешката съкровищница </w:t>
      </w:r>
      <w:r>
        <w:rPr>
          <w:lang w:val="bg-BG"/>
        </w:rPr>
        <w:t>Хипократ, Демокрит, Платон, Вергилий, Леонардо да</w:t>
      </w:r>
      <w:r>
        <w:rPr>
          <w:b w:val="false"/>
          <w:lang w:val="bg-BG"/>
        </w:rPr>
        <w:t xml:space="preserve"> </w:t>
      </w:r>
      <w:r>
        <w:rPr>
          <w:lang w:val="bg-BG"/>
        </w:rPr>
        <w:t>Винчи, У. Шекспир, Б. Шоу</w:t>
      </w:r>
      <w:r>
        <w:rPr>
          <w:b w:val="false"/>
          <w:lang w:val="bg-BG"/>
        </w:rPr>
        <w:t xml:space="preserve"> и др. У нас известният психолог проф. Г. </w:t>
      </w:r>
      <w:r>
        <w:rPr>
          <w:lang w:val="bg-BG"/>
        </w:rPr>
        <w:t>Пирьов</w:t>
      </w:r>
      <w:r>
        <w:rPr>
          <w:b w:val="false"/>
          <w:lang w:val="bg-BG"/>
        </w:rPr>
        <w:t xml:space="preserve">   до стотната си година пишеше и издаваше книги. В страната ни има немалко дълголетници и столетници, които се радват на добро здраве и запазена работоспособност. Това потвърждава, че старостта и дълголетието не са свързани задължително с болестни процеси. При изучаване на условията и факторите, благоприятстващи за максималната продължителност на живота обикновено се посочват следните: </w:t>
      </w:r>
    </w:p>
    <w:p>
      <w:pPr>
        <w:pStyle w:val="Heading3"/>
        <w:numPr>
          <w:ilvl w:val="0"/>
          <w:numId w:val="22"/>
        </w:numPr>
        <w:jc w:val="both"/>
        <w:rPr>
          <w:b w:val="false"/>
          <w:b w:val="false"/>
          <w:lang w:val="bg-BG"/>
        </w:rPr>
      </w:pPr>
      <w:r>
        <w:rPr>
          <w:b w:val="false"/>
          <w:lang w:val="bg-BG"/>
        </w:rPr>
        <w:t xml:space="preserve">храненето (приемането на много зеленчуци, плодове, ядки и особено на кисело мляко);  </w:t>
      </w:r>
    </w:p>
    <w:p>
      <w:pPr>
        <w:pStyle w:val="Heading3"/>
        <w:numPr>
          <w:ilvl w:val="0"/>
          <w:numId w:val="22"/>
        </w:numPr>
        <w:jc w:val="both"/>
        <w:rPr>
          <w:b w:val="false"/>
          <w:b w:val="false"/>
          <w:lang w:val="bg-BG"/>
        </w:rPr>
      </w:pPr>
      <w:r>
        <w:rPr>
          <w:b w:val="false"/>
          <w:lang w:val="bg-BG"/>
        </w:rPr>
        <w:t xml:space="preserve">функционалната активност (ежедневни умерени занимания с физически и умствен труд, извършване на най-разнообразни движения); </w:t>
      </w:r>
    </w:p>
    <w:p>
      <w:pPr>
        <w:pStyle w:val="Heading3"/>
        <w:numPr>
          <w:ilvl w:val="0"/>
          <w:numId w:val="22"/>
        </w:numPr>
        <w:jc w:val="both"/>
        <w:rPr>
          <w:b w:val="false"/>
          <w:b w:val="false"/>
          <w:lang w:val="bg-BG"/>
        </w:rPr>
      </w:pPr>
      <w:r>
        <w:rPr>
          <w:b w:val="false"/>
          <w:lang w:val="bg-BG"/>
        </w:rPr>
        <w:t>климатичните условия (продължително престояване на чист въздух);</w:t>
      </w:r>
    </w:p>
    <w:p>
      <w:pPr>
        <w:pStyle w:val="Heading3"/>
        <w:numPr>
          <w:ilvl w:val="0"/>
          <w:numId w:val="22"/>
        </w:numPr>
        <w:jc w:val="both"/>
        <w:rPr>
          <w:b w:val="false"/>
          <w:b w:val="false"/>
          <w:lang w:val="bg-BG"/>
        </w:rPr>
      </w:pPr>
      <w:r>
        <w:rPr>
          <w:b w:val="false"/>
          <w:lang w:val="bg-BG"/>
        </w:rPr>
        <w:t xml:space="preserve">благополучните социални взаимодействия (със семейството и с околните); </w:t>
      </w:r>
    </w:p>
    <w:p>
      <w:pPr>
        <w:pStyle w:val="Heading3"/>
        <w:numPr>
          <w:ilvl w:val="0"/>
          <w:numId w:val="22"/>
        </w:numPr>
        <w:jc w:val="both"/>
        <w:rPr>
          <w:b w:val="false"/>
          <w:b w:val="false"/>
          <w:lang w:val="bg-BG"/>
        </w:rPr>
      </w:pPr>
      <w:r>
        <w:rPr>
          <w:b w:val="false"/>
          <w:lang w:val="bg-BG"/>
        </w:rPr>
        <w:t xml:space="preserve">режимът на труд и почивка (спазване на естествения ритъм на живота); </w:t>
      </w:r>
    </w:p>
    <w:p>
      <w:pPr>
        <w:pStyle w:val="Heading3"/>
        <w:numPr>
          <w:ilvl w:val="0"/>
          <w:numId w:val="22"/>
        </w:numPr>
        <w:jc w:val="both"/>
        <w:rPr>
          <w:b w:val="false"/>
          <w:b w:val="false"/>
          <w:lang w:val="bg-BG"/>
        </w:rPr>
      </w:pPr>
      <w:r>
        <w:rPr>
          <w:b w:val="false"/>
          <w:lang w:val="bg-BG"/>
        </w:rPr>
        <w:t xml:space="preserve">доминиране на положителни емоции (радости при отглеждане на децата, растения, животни, при съблюдаване на традициите); </w:t>
      </w:r>
    </w:p>
    <w:p>
      <w:pPr>
        <w:pStyle w:val="Heading3"/>
        <w:numPr>
          <w:ilvl w:val="0"/>
          <w:numId w:val="22"/>
        </w:numPr>
        <w:jc w:val="both"/>
        <w:rPr>
          <w:b w:val="false"/>
          <w:b w:val="false"/>
          <w:lang w:val="bg-BG"/>
        </w:rPr>
      </w:pPr>
      <w:r>
        <w:rPr>
          <w:b w:val="false"/>
          <w:lang w:val="bg-BG"/>
        </w:rPr>
        <w:t xml:space="preserve">избягването на крайностите (преяждането, бодърствуването през нощта, злоупотребата с алкохол и др.); </w:t>
      </w:r>
    </w:p>
    <w:p>
      <w:pPr>
        <w:pStyle w:val="Heading3"/>
        <w:numPr>
          <w:ilvl w:val="0"/>
          <w:numId w:val="22"/>
        </w:numPr>
        <w:jc w:val="both"/>
        <w:rPr>
          <w:b w:val="false"/>
          <w:b w:val="false"/>
          <w:lang w:val="bg-BG"/>
        </w:rPr>
      </w:pPr>
      <w:r>
        <w:rPr>
          <w:b w:val="false"/>
          <w:lang w:val="bg-BG"/>
        </w:rPr>
        <w:t xml:space="preserve">предпазването от афекти и стресови състояния; и пр.  </w:t>
      </w:r>
    </w:p>
    <w:p>
      <w:pPr>
        <w:pStyle w:val="Heading3"/>
        <w:jc w:val="both"/>
        <w:rPr/>
      </w:pPr>
      <w:r>
        <w:rPr>
          <w:b w:val="false"/>
          <w:lang w:val="bg-BG"/>
        </w:rPr>
        <w:t>Проблемът за “</w:t>
      </w:r>
      <w:r>
        <w:rPr>
          <w:lang w:val="bg-BG"/>
        </w:rPr>
        <w:t>подмладяването</w:t>
      </w:r>
      <w:r>
        <w:rPr>
          <w:b w:val="false"/>
          <w:lang w:val="bg-BG"/>
        </w:rPr>
        <w:t>” на остарелия човешки организъм или по-точно за неговата “</w:t>
      </w:r>
      <w:r>
        <w:rPr>
          <w:lang w:val="bg-BG"/>
        </w:rPr>
        <w:t>ревитализация</w:t>
      </w:r>
      <w:r>
        <w:rPr>
          <w:b w:val="false"/>
          <w:lang w:val="bg-BG"/>
        </w:rPr>
        <w:t>” (“</w:t>
      </w:r>
      <w:r>
        <w:rPr>
          <w:lang w:val="bg-BG"/>
        </w:rPr>
        <w:t>реактивация</w:t>
      </w:r>
      <w:r>
        <w:rPr>
          <w:b w:val="false"/>
          <w:lang w:val="bg-BG"/>
        </w:rPr>
        <w:t xml:space="preserve">”) е обект на усилени изследвания още в далечното минало. Много от опитите в това отношение са довеждали до дълбоки разочарования (12, с. 165 и сл.). Египтяните например са използвали метода на честите изпотявания или средства за повръщане (два пъти в месеца). От китайски папируси и паметници до нас са достигнали сведения за консумиране на мляко от жени-кърмачки като средство за “подмладяване”. В Древния Рим широко е използван методът за общуване на старците с юноши, девойки и деца (герокомия). Смятало се е, че като диша от техния въздух, старият човек се “подмладява”. През Средните векове също са били използвани методи за почистване на стомаха и червата. Прилагани са и чести кръвопреливания. Например на френския крал Людовик ХІІІ, починал на 42-годишна възраст, през последните 10 години от живота му били дадени над 200 разхлабителни средства. Известен е случаят с папа Инокентий VІІІ, който умира заедно с три млади пастирчета  при опит за подмладяване чрез кръвопреливане. </w:t>
      </w:r>
    </w:p>
    <w:p>
      <w:pPr>
        <w:pStyle w:val="Heading3"/>
        <w:jc w:val="both"/>
        <w:rPr/>
      </w:pPr>
      <w:r>
        <w:rPr>
          <w:b w:val="false"/>
          <w:lang w:val="bg-BG"/>
        </w:rPr>
        <w:t xml:space="preserve">Известни са редица експерименти за изучаване влиянието на най-различни видове хормони върху организмите на остарели и немощни лица. Така напр. френският учен Бр. </w:t>
      </w:r>
      <w:r>
        <w:rPr>
          <w:lang w:val="bg-BG"/>
        </w:rPr>
        <w:t>Секар</w:t>
      </w:r>
      <w:r>
        <w:rPr>
          <w:b w:val="false"/>
          <w:lang w:val="bg-BG"/>
        </w:rPr>
        <w:t xml:space="preserve"> (ХІХ век) използва извлек от семенни жлези за “подмладяване”, но резултатите не били насърчителни. Виенският учен Е. </w:t>
      </w:r>
      <w:r>
        <w:rPr>
          <w:lang w:val="bg-BG"/>
        </w:rPr>
        <w:t>Щайнах</w:t>
      </w:r>
      <w:r>
        <w:rPr>
          <w:b w:val="false"/>
          <w:lang w:val="bg-BG"/>
        </w:rPr>
        <w:t xml:space="preserve"> използва за тази цел полови хормони за увеличаване продължителността на живота на бели плъхове и на кучета, а С. </w:t>
      </w:r>
      <w:r>
        <w:rPr>
          <w:lang w:val="bg-BG"/>
        </w:rPr>
        <w:t>Воронов</w:t>
      </w:r>
      <w:r>
        <w:rPr>
          <w:b w:val="false"/>
          <w:lang w:val="bg-BG"/>
        </w:rPr>
        <w:t xml:space="preserve"> в Париж присажда полови жлези от млади овни на остарели. Били постигнати слаби положителни резултати, които обаче не били потвърдени при по-нататъшни опити и изследвания.</w:t>
      </w:r>
    </w:p>
    <w:p>
      <w:pPr>
        <w:pStyle w:val="Heading3"/>
        <w:jc w:val="both"/>
        <w:rPr/>
      </w:pPr>
      <w:r>
        <w:rPr>
          <w:b w:val="false"/>
          <w:lang w:val="bg-BG"/>
        </w:rPr>
        <w:t xml:space="preserve">През ХХ век опитите  с прилагане на  полови, така и на други видове хормони продължават, като обекти на изследване са както животни, така и по-стари хора. Както изтъкват Т.Л. </w:t>
      </w:r>
      <w:r>
        <w:rPr>
          <w:lang w:val="bg-BG"/>
        </w:rPr>
        <w:t>Дубина</w:t>
      </w:r>
      <w:r>
        <w:rPr>
          <w:b w:val="false"/>
          <w:lang w:val="bg-BG"/>
        </w:rPr>
        <w:t xml:space="preserve"> и А.Н. </w:t>
      </w:r>
      <w:r>
        <w:rPr>
          <w:lang w:val="bg-BG"/>
        </w:rPr>
        <w:t>Разумович</w:t>
      </w:r>
      <w:r>
        <w:rPr>
          <w:b w:val="false"/>
          <w:lang w:val="bg-BG"/>
        </w:rPr>
        <w:t xml:space="preserve"> (19, с. 11 и сл.) оптималният избор на обекта във всяко конкретно геронтологично изследване е много важен фактор за успеха. Периодът на стареенето и старостта в онтогенеза на човека продължава няколко десетки години, поради което провеждането на даже допустими от гледище на морала и етиката експерименти за активно вмешателство в процеса на стареенето ще изисква много години. Много прояви на стареенето при човека са сходни с тези на животните. Използването на животни с малка продължителност на живота (от няколко месеца до няколко години) позволява до се установят  важни особености на този процес и да се направят съответни изводи.  Основните критерии за избор  на лабораторни животни за изследване са: </w:t>
      </w:r>
    </w:p>
    <w:p>
      <w:pPr>
        <w:pStyle w:val="Heading3"/>
        <w:numPr>
          <w:ilvl w:val="0"/>
          <w:numId w:val="5"/>
        </w:numPr>
        <w:jc w:val="both"/>
        <w:rPr>
          <w:b w:val="false"/>
          <w:b w:val="false"/>
          <w:lang w:val="bg-BG"/>
        </w:rPr>
      </w:pPr>
      <w:r>
        <w:rPr>
          <w:b w:val="false"/>
          <w:lang w:val="bg-BG"/>
        </w:rPr>
        <w:t xml:space="preserve">тяхната продължителност на живота да не бъде много голяма и да е добре известна; </w:t>
      </w:r>
    </w:p>
    <w:p>
      <w:pPr>
        <w:pStyle w:val="Heading3"/>
        <w:numPr>
          <w:ilvl w:val="0"/>
          <w:numId w:val="5"/>
        </w:numPr>
        <w:jc w:val="both"/>
        <w:rPr>
          <w:b w:val="false"/>
          <w:b w:val="false"/>
          <w:lang w:val="bg-BG"/>
        </w:rPr>
      </w:pPr>
      <w:r>
        <w:rPr>
          <w:b w:val="false"/>
          <w:lang w:val="bg-BG"/>
        </w:rPr>
        <w:t xml:space="preserve">да са устойчиви на заболявания; </w:t>
      </w:r>
    </w:p>
    <w:p>
      <w:pPr>
        <w:pStyle w:val="Heading3"/>
        <w:numPr>
          <w:ilvl w:val="0"/>
          <w:numId w:val="5"/>
        </w:numPr>
        <w:jc w:val="both"/>
        <w:rPr>
          <w:b w:val="false"/>
          <w:b w:val="false"/>
          <w:lang w:val="bg-BG"/>
        </w:rPr>
      </w:pPr>
      <w:r>
        <w:rPr>
          <w:b w:val="false"/>
          <w:lang w:val="bg-BG"/>
        </w:rPr>
        <w:t xml:space="preserve">да е налице сходство на физиологическите им процеси и патологичните прояви с тези на човека; </w:t>
      </w:r>
    </w:p>
    <w:p>
      <w:pPr>
        <w:pStyle w:val="Heading3"/>
        <w:numPr>
          <w:ilvl w:val="0"/>
          <w:numId w:val="5"/>
        </w:numPr>
        <w:jc w:val="both"/>
        <w:rPr>
          <w:b w:val="false"/>
          <w:b w:val="false"/>
          <w:lang w:val="bg-BG"/>
        </w:rPr>
      </w:pPr>
      <w:r>
        <w:rPr>
          <w:b w:val="false"/>
          <w:lang w:val="bg-BG"/>
        </w:rPr>
        <w:t xml:space="preserve">да е налице близост по отношение на хранителните им потребности с тези на човека;  </w:t>
      </w:r>
    </w:p>
    <w:p>
      <w:pPr>
        <w:pStyle w:val="Heading3"/>
        <w:numPr>
          <w:ilvl w:val="0"/>
          <w:numId w:val="5"/>
        </w:numPr>
        <w:jc w:val="both"/>
        <w:rPr>
          <w:b w:val="false"/>
          <w:b w:val="false"/>
          <w:lang w:val="bg-BG"/>
        </w:rPr>
      </w:pPr>
      <w:r>
        <w:rPr>
          <w:b w:val="false"/>
          <w:lang w:val="bg-BG"/>
        </w:rPr>
        <w:t xml:space="preserve">грижите за тях да не изискват големи разходи. </w:t>
      </w:r>
    </w:p>
    <w:p>
      <w:pPr>
        <w:pStyle w:val="Heading3"/>
        <w:jc w:val="both"/>
        <w:rPr>
          <w:b w:val="false"/>
          <w:b w:val="false"/>
          <w:lang w:val="bg-BG"/>
        </w:rPr>
      </w:pPr>
      <w:r>
        <w:rPr>
          <w:b w:val="false"/>
          <w:lang w:val="bg-BG"/>
        </w:rPr>
        <w:t>Провеждат се различни опити с плъхове, мишки, котки, морски свинчета, кучета и пр. за установяване на влиянието на температурата, храненето, облъчването и редица други фактори върху процесите на стареене. На тази основа се формулират произтичащите от изследванията изводи за процесите на стареене при хората</w:t>
      </w:r>
    </w:p>
    <w:p>
      <w:pPr>
        <w:pStyle w:val="Heading3"/>
        <w:jc w:val="both"/>
        <w:rPr/>
      </w:pPr>
      <w:r>
        <w:rPr>
          <w:b w:val="false"/>
          <w:lang w:val="bg-BG"/>
        </w:rPr>
        <w:t xml:space="preserve">За </w:t>
      </w:r>
      <w:r>
        <w:rPr>
          <w:lang w:val="bg-BG"/>
        </w:rPr>
        <w:t xml:space="preserve">ревитализацията </w:t>
      </w:r>
      <w:r>
        <w:rPr>
          <w:b w:val="false"/>
          <w:lang w:val="bg-BG"/>
        </w:rPr>
        <w:t xml:space="preserve">в напреднала и старческа възраст  важна роля играят  </w:t>
      </w:r>
      <w:r>
        <w:rPr>
          <w:lang w:val="bg-BG"/>
        </w:rPr>
        <w:t>геропротекторите.</w:t>
      </w:r>
      <w:r>
        <w:rPr>
          <w:b w:val="false"/>
          <w:lang w:val="bg-BG"/>
        </w:rPr>
        <w:t xml:space="preserve"> Това са най-различни лекарствени средства, фармацевтични препарати и биологично активни вещества, които оказват положително действие върху стареещия организъм. Те подобряват обмяната на веществата, стимулират и укрепват имунологическия  статус на организма, имат антисклеротично действие и пр. От цялостната система на геропротектори особено важна роля играят т.нар. </w:t>
      </w:r>
      <w:r>
        <w:rPr>
          <w:lang w:val="bg-BG"/>
        </w:rPr>
        <w:t>антиоксиданти</w:t>
      </w:r>
      <w:r>
        <w:rPr>
          <w:b w:val="false"/>
          <w:lang w:val="bg-BG"/>
        </w:rPr>
        <w:t xml:space="preserve"> (противоокислители), в действието на които се включва регулиране на окислителните процеси в клетките и осигуряване на нормален фон на свободните радикали в биологичните мембрани. Установено е, че в процеса на стареенето в организма се образуват активни свободни радикали (HO и HO²), които възникват в хода на протичащите различни окислителни реакции и имат реактивна способност. Именно тези радикали според редица учени влияят върху процеса на стареенето и допринасят за развитието на възрастовата патология. Те имат способността да индуцират процесите на полимеризация на биомолекулите в тъканите, да влияят върху техните физико-химични свойства.  При въздействието на редица стресови фактори интензивността на свободното радикално окисление значително се повишава. Лишаването от възможност да се образуват свободни радикали е един от основните пътища за удължаване на живота.  </w:t>
      </w:r>
    </w:p>
    <w:p>
      <w:pPr>
        <w:pStyle w:val="Heading3"/>
        <w:jc w:val="both"/>
        <w:rPr/>
      </w:pPr>
      <w:r>
        <w:rPr>
          <w:b w:val="false"/>
          <w:lang w:val="bg-BG"/>
        </w:rPr>
        <w:t xml:space="preserve">Антиоксидантите не са хранителни вещества. Според произхода си те се разделят на две групи: биологични и синтетични. Биоантиоксидантите от своя страна се разделят на водно- и мастноразтворими. Към водноразтворимите се отнасят: витамин С, лимонената и никотиновата киселина, сяросъдържащите аминокиселини (цистин, цистеин, глутатион), катехините,  бензоената киселина и др. Към мастноразтворимите се отнасят: витамин Е (токоферол), витамини от групата К, билирубин, биливердин, убихинон, стероидни хормони и др. Високоантиокислително свойство притежават и много от анитибиотиците – пеницилин, стрептомицин, тетрациклин, левомицетин, тетраолеан и др. От синтетичните антиокислители в медицината се използват барбитуратите и органичните съединения на сярата. Витамините от група В също притежават антиоксидантни свойства. Някои учени обясняват по-високата средна продължителност на живота при жените с по-високото съдържание в кръвта им  на биоантиокислители (аскорбинова киселина), витамин Е и др. Известни са и други вещества, които, използвани в оптимални дози, могат да повлияят върху преждевременното стареене: аспиринът, салициламидът, колхицинът, пантотеновата киселина, лимонената, фумаровата, пирогроздената, алфа-кета-глутаровата киселина, някои органични и неорганични съединения на селена и др. Като важни средства за забавяне на процесите на стареенето се използват още много лекарствени средства: пчелно млечице (апитонин), Жен Шен, унитиол, Еленов рог, Гингко Билоба, Алое,  и др.  Най-добрите антиоксиданти са витамините: Е, С, А, бета каротин и микроелементите: селен, ценк, желязо, манган, магнезий, мед, хром и др. Много важно е да се осигурят на организма всички тези вещества в малки количества, но в правилни съотношения, защото така се допълват ефектите им и резултатите са най-добри (състояние на антиоксидантен  синергизъм). Набавянето на антиоксиданти трябва да става чрез разнообразно хранене, като се използват главно природни продукти, плодове и зеленчуци. Синтетично произведените таблетни форми не са за предпочитане. </w:t>
      </w:r>
    </w:p>
    <w:p>
      <w:pPr>
        <w:pStyle w:val="Heading3"/>
        <w:jc w:val="both"/>
        <w:rPr/>
      </w:pPr>
      <w:r>
        <w:rPr>
          <w:b w:val="false"/>
          <w:lang w:val="bg-BG"/>
        </w:rPr>
        <w:t xml:space="preserve">Трябва   да се подчертае обаче, че изключително важен фактор за повлияване върху продължителността на живота е самата </w:t>
      </w:r>
      <w:r>
        <w:rPr>
          <w:lang w:val="bg-BG"/>
        </w:rPr>
        <w:t>биологическа устойчивост</w:t>
      </w:r>
      <w:r>
        <w:rPr>
          <w:b w:val="false"/>
          <w:lang w:val="bg-BG"/>
        </w:rPr>
        <w:t xml:space="preserve"> на организма.  А тя самата е обусловена от комплекс от наследствени и социални фактори, сред които начинът на живот играе една от  основните роли. С основание особено място в своята ортобиоза И. </w:t>
      </w:r>
      <w:r>
        <w:rPr>
          <w:lang w:val="bg-BG"/>
        </w:rPr>
        <w:t>Мечников</w:t>
      </w:r>
      <w:r>
        <w:rPr>
          <w:b w:val="false"/>
          <w:lang w:val="bg-BG"/>
        </w:rPr>
        <w:t xml:space="preserve"> отделя на  рационалния начин на живот, на съвкупността на природната и социалната среда и на разнообразната дейност (особено на трудовата), която човек извършва. Винаги въздействието на слънцето, въздуха и  водата са били изтъквани като природни дадености, пряко свързани със здравето на човека. От съществено значение е умереното разнообразно хранене при пълноценност на качеството и състава на храната. Умерената физическа активност също благоприятства за увеличаване продължителността на живота. Бездействието (хиподинамията), както и прекомерното нервно-психическо напрежение (особено стресът)  са   несъвместими със съществуването на човека. </w:t>
      </w:r>
    </w:p>
    <w:p>
      <w:pPr>
        <w:pStyle w:val="Heading3"/>
        <w:jc w:val="both"/>
        <w:rPr/>
      </w:pPr>
      <w:r>
        <w:rPr>
          <w:b w:val="false"/>
          <w:lang w:val="bg-BG"/>
        </w:rPr>
        <w:t xml:space="preserve">Физическото и психическото здраве на стария човек до голяма степен зависят от това, доколко животът и дейността му са съобразени с неговия </w:t>
      </w:r>
      <w:r>
        <w:rPr>
          <w:lang w:val="bg-BG"/>
        </w:rPr>
        <w:t>биологичен ритъм</w:t>
      </w:r>
      <w:r>
        <w:rPr>
          <w:b w:val="false"/>
          <w:lang w:val="bg-BG"/>
        </w:rPr>
        <w:t xml:space="preserve">. Всяко живо същество  има определени амплитуди, ритми в своето развитие, вълни на “приливи и отливи”, на повишена активност и пасивност, на продуктивност и снижена ефективност (14, с. 27 и сл.).Те се определят като биологически ритми, които поради своята повтаряемост и устойчивост се наричат и “биологически часовник”. Промените в жизнените функции на човека са дневни и нощни, седмични, месечни или годишни. Биологичните ритми се обуславят от магнитното поле на земята, от активността на слънцето, от космически влияния, от цикличните процеси в природата. За едно денонощие земята се завърта около своята ос, за 28 луната се завъртва около земята, а за една година земята се завърта около слънцето. Във всеки човек се извършват едни или други циклични промени в организма – в работоспособността на нервната система, на сърцето, на мускулите и др. В резултат на това се изменят кръвното налягане, температурата на тялото, работоспособността, настроението, самочувствието. Още гръцкият лекар </w:t>
      </w:r>
      <w:r>
        <w:rPr>
          <w:lang w:val="bg-BG"/>
        </w:rPr>
        <w:t xml:space="preserve">Герофил </w:t>
      </w:r>
      <w:r>
        <w:rPr>
          <w:b w:val="false"/>
          <w:lang w:val="bg-BG"/>
        </w:rPr>
        <w:t xml:space="preserve">от Александрия преди 300 години до новата ера е установил, че пулсът на здравия човек се изменя през деня. Сега се знае, че за 24 часа се променят над 400 функции и процеси в организма, между които и температурата на тялото. През нощта тя е най-ниска. Сутрин започва да  се повишава и става най-висока към 18 ч. Повишаването на температурата е свързано с подем на жизнената активност, а понижаването й води до сънливост и сън. Трайното възпроизвеждане на биологичните ритми, тяхната еднотипна повтаряемост е показател  за добро психофизическо здраве. Разстройствата на биологическите ритми са свидетелство  за настъпващо или проявяващо се заболяване. Те имат най-различен израз – нарушаване на съня, на дишането, на пулса, на кръвното налягане, на функциите на централната нервна система и пр. Самите заболявания например имат свой ритъм. През нощта се изострят, активизират. Инсултите, инфарктите настъпват най-често сутрин, когато се увеличава потребността от кислородна обмяна, от снабдяване на органите и системите с хранителни вещества. Сутрин след събуждане от сън винаги се наблюдава активизиране на целия организъм, което е свързано с повишената концентрация на адреналина в кръвта – учестяване на пулса, повишаване на артериалното налагане и пр. </w:t>
      </w:r>
    </w:p>
    <w:p>
      <w:pPr>
        <w:pStyle w:val="Heading3"/>
        <w:jc w:val="both"/>
        <w:rPr/>
      </w:pPr>
      <w:r>
        <w:rPr>
          <w:b w:val="false"/>
          <w:lang w:val="bg-BG"/>
        </w:rPr>
        <w:t xml:space="preserve">Един пълен биологичен цикъл може да обхване цяла седмица, месец, година или много години. Циркадните биологични ритми са в състояние да изменят работоспособността на човека. Сутрин и през деня тя е по-висока, а вечер е понижена. Адаптивността на човека към условията на средата му е позволила да внася едни или други корекции в ритъма на своя живот, т.е да изработва нови биологични ритми. Например едни хора по силата на обективни обстоятелства са привикнали да се трудят нощем и им е по-трудно, когато се редува например един ден – нощна  работа с два дни – дневна работа. Честата смяна на биологичните ритми в редица случаи довежда до различни заболявания – неврози, хипертонична болест, язвена болест и пр. Безспорно е, че по-продуктивна е работоспособността на човека, когато е съобразена с динамиката на биологичните ритми. Неслучайно, макар и кратки заспивания на трудещи се и шофьори през нощта са причини за аварии и катастрофи. Следователно животът на хората от напреднала и старческа възраст задължително трябва да бъде съобразен с техните биологични ритми. </w:t>
      </w:r>
    </w:p>
    <w:p>
      <w:pPr>
        <w:pStyle w:val="Heading3"/>
        <w:jc w:val="both"/>
        <w:rPr/>
      </w:pPr>
      <w:r>
        <w:rPr>
          <w:b w:val="false"/>
          <w:lang w:val="bg-BG"/>
        </w:rPr>
        <w:t xml:space="preserve">Актуалността на проблема за пълноценно запазване и продължаване на живота е все по-голяма с напредване на възрастта. Дълголетието е един естествен модел за това, как  може да се достигне физиологическа възрастност. Но по-рано или по-късно и дълголетникът умира по силата на природните закони. Отделният човек е смъртен, но човечеството е безсмъртно. Наистина  немалко  философи, учени и поети говорят за иморталитет (безсмъртие), но в действителност те имат пред вид социалното безсмъртие. Човекът като физика умира, но неговите идеи и завещани на поколенията ценности могат да се запазят практически неограничено дълго време. Така например древноримският философ  </w:t>
      </w:r>
      <w:r>
        <w:rPr>
          <w:lang w:val="bg-BG"/>
        </w:rPr>
        <w:t>Сенека</w:t>
      </w:r>
      <w:r>
        <w:rPr>
          <w:b w:val="false"/>
          <w:lang w:val="bg-BG"/>
        </w:rPr>
        <w:t xml:space="preserve"> отдавна не е между живите, но ние и до днес не преставаме да се възхищаваме от неговите сентенции и оригинални мисли. “Достатъчно дълъг е животът и обилно даден, за да се привършат най-великите задачи, стига само изцяло да се използва добре”; “Защо се оплакваме от природата? Тя се е показала щедра към нас. Животът, ако умеем да го използваме, е дълъг”; “Не е малко времето, с което разполагаме, но много е, което губим”; “Мъдрият мисли за това как живее, а не колко живее”; “На всеки ден аз гледам като на последен” и много други. По думите на Марк </w:t>
      </w:r>
      <w:r>
        <w:rPr>
          <w:lang w:val="bg-BG"/>
        </w:rPr>
        <w:t xml:space="preserve">Аврелий </w:t>
      </w:r>
      <w:r>
        <w:rPr>
          <w:b w:val="false"/>
          <w:lang w:val="bg-BG"/>
        </w:rPr>
        <w:t>съществува кръговрат в природата и затова напълно безразлично е дали ще наблюдаваш живота 100 или 200 години, или безкрайно много време. Колкото и да живее човек,  той не съкращава своя престой в небитието, защото небитието е безкрайно, а безкрайното не може да се съкращава. Настоящето – това е всичко, от което можеш да се лишиш, защото само него и притежаваш, а никой не се лишава от онова, което не притежава… С други думи, границите на човешкия живот могат и трябва да се разширяват, но не и до безкрайност. В природата онова, което е достатъчно за вида, е достатъчно и за отделния индивид. Човек живее, за да осигури битие и безсмъртие на човешкия вид. В обществото твърде често социалната смърт на личността е много по-страшна от физическата. Човек се отличава от животното не само по това, че по-малко зависи от стихийните природни явления,  а главно по това, че той се подчинява и на други закони и норми – тези на обществото. Формирането на социалните свойства у детето означава  постепенно превръщане на особеното биологично същество в личност като член на обществото. Кога, в кой “момент” се извършва това ? – това е изключително сложен въпрос.</w:t>
      </w:r>
    </w:p>
    <w:p>
      <w:pPr>
        <w:pStyle w:val="Heading1"/>
        <w:rPr/>
      </w:pPr>
      <w:bookmarkStart w:id="15" w:name="__RefHeading___Toc89859676"/>
      <w:r>
        <w:rPr/>
        <w:t>Четвърта тема</w:t>
        <w:br/>
        <w:t>ДЕМОГРАФСКИ  ОСНОВИ НА ГЕРАГОГИКАТА</w:t>
      </w:r>
      <w:bookmarkEnd w:id="15"/>
      <w:r>
        <w:rPr/>
        <w:t xml:space="preserve"> </w:t>
      </w:r>
    </w:p>
    <w:p>
      <w:pPr>
        <w:pStyle w:val="Heading2"/>
        <w:rPr/>
      </w:pPr>
      <w:bookmarkStart w:id="16" w:name="__RefHeading___Toc89859677"/>
      <w:r>
        <w:rPr/>
        <w:t>4.1. Демографският преход и неговите основни етапи</w:t>
      </w:r>
      <w:bookmarkEnd w:id="16"/>
      <w:r>
        <w:rPr/>
        <w:t xml:space="preserve"> </w:t>
      </w:r>
    </w:p>
    <w:p>
      <w:pPr>
        <w:pStyle w:val="NormalText"/>
        <w:rPr/>
      </w:pPr>
      <w:r>
        <w:rPr/>
        <w:t xml:space="preserve">Науката за населението – </w:t>
      </w:r>
      <w:r>
        <w:rPr>
          <w:b/>
        </w:rPr>
        <w:t xml:space="preserve">демографията </w:t>
      </w:r>
      <w:r>
        <w:rPr/>
        <w:t xml:space="preserve">(от старогръцките думи “демос” – народ и “графия” –писание) изучава тенденциите и закономерностите на възпроизводството на населението при условията на социалната и природната среда, където се формират факторите, които го определят (31, с. 15 и сл). Възпроизводството на населението в демографски смисъл е постоянното му възобновяване в резултат на естественото движение (ражданията и умиранията) и миграцията (заселванията и изселванията ).Тези процеси са най-пълно и задълбочено проучени. Те отдавна са метрирани, а през последните десетилетия се появиха и множество математически модели, които дават възможност за тяхната по-точна и пълна оценка. При съвременните условия, когато развитието на пазарното стопанство, въвеждането на нови производства и технологии води до засилване както на териториалната, така и на социалната мобилност на населението за обяснение на същността на демографските процеси е необходим по-широк социологически подход, който да отчита не само количествените, а и качествените характеристики на възпроизводството на населението, създаването на социалните структури, формирането на демографското поведение. Широкото приложение на математико-статистически методи, съчетаването на ретроспективния с дескриптивния анализ позволява от единичните демографски факти да се правят обобщения, общовалидни за целия процес на възпроизводството на населението и обратно, от общите постановки да се изследват особеностите на частните процеси. На тази основа могат чрез демографските прогнози да се очертават бъдещите тенденции на демографското развитие и последиците от тях върху социално-икономическото развитие. Основният показател за възпроизводство на населението от гледна точка на неговата количествена страна е естественото развитие или т.нар. </w:t>
      </w:r>
      <w:r>
        <w:rPr>
          <w:b/>
        </w:rPr>
        <w:t>биологичен баланс</w:t>
      </w:r>
      <w:r>
        <w:rPr/>
        <w:t>. Той изразява разликата между раждаемостта и смъртността или подмяната на излизащите поколения с нови. Фактите, отнасящи се както до нашата, така и до редица други страни показват, че с намаляването на смъртността и увеличаването на средната продължителност на живота, спада и раждаемостта на населението, т.е. двата процеса са взаимно свързани и обусловени.</w:t>
      </w:r>
    </w:p>
    <w:p>
      <w:pPr>
        <w:pStyle w:val="NormalText"/>
        <w:rPr/>
      </w:pPr>
      <w:r>
        <w:rPr>
          <w:b/>
        </w:rPr>
        <w:t>Демографското развитие</w:t>
      </w:r>
      <w:r>
        <w:rPr/>
        <w:t xml:space="preserve"> </w:t>
      </w:r>
      <w:r>
        <w:rPr>
          <w:b/>
        </w:rPr>
        <w:t>на света</w:t>
      </w:r>
      <w:r>
        <w:rPr/>
        <w:t xml:space="preserve"> през втората половина на  ХХ и началото на ХХІ век се характеризира с някои изменения във възпроизвеждането на населението, които оказват съществено влияние на социално-биологичния баланс. Една от най-разпространените теории, която си поставя за цел да обясни демографската нееднородност на нашата планета е </w:t>
      </w:r>
      <w:r>
        <w:rPr>
          <w:b/>
        </w:rPr>
        <w:t>теорията за демографския</w:t>
      </w:r>
      <w:r>
        <w:rPr/>
        <w:t xml:space="preserve"> </w:t>
      </w:r>
      <w:r>
        <w:rPr>
          <w:b/>
        </w:rPr>
        <w:t>преход.</w:t>
      </w:r>
      <w:r>
        <w:rPr/>
        <w:t xml:space="preserve">  Неин създател е френският демограф Анри </w:t>
      </w:r>
      <w:r>
        <w:rPr>
          <w:b/>
        </w:rPr>
        <w:t xml:space="preserve">Ландри </w:t>
      </w:r>
      <w:r>
        <w:rPr/>
        <w:t xml:space="preserve">(31, с.183 и сл.). Тази теория определя демографския преход като процес на преминаване от един вид балансирано отношение между компонентите на социално-биологичния баланс на населението (отношението между броя на смъртните случаи и броя на ражданията) към друг вид. В основата й лежи концепцията за трите сменящи се режима на възпроизводство на населението - примитивен, преходен (традиционен) и съвременен. </w:t>
      </w:r>
    </w:p>
    <w:p>
      <w:pPr>
        <w:pStyle w:val="NormalText"/>
        <w:rPr/>
      </w:pPr>
      <w:r>
        <w:rPr/>
        <w:t xml:space="preserve">Примитивният режим се характеризира с висока смъртност и съответстващата й висока раждаемост. Ръстът на населението зависи от продоволствените ресурси. Тяхното изобилие или недостиг предизвикват колебания в нивото на икономическия прогрес. Съвременният режим на възпроизводство на населението се обуславя от смяната на аграрното стопанство, характерно за традиционните общества, с индустриално. В резултат на това смъртността намалява по-бързо от раждаемостта и се стига до увеличаване на естествения прираст на населението до максимум. След това раждаемостта започва чувствително да спада, а смъртността, достигнала един минимум, леко се покачва, вследствие на възрастовата структура на населението. Естественият прираст бързо спада. Като краен резултат раждаемостта стига до ниво на заместване на родителите. Продължаването на този процес довежда до изравняване на раждаемостта със смъртността, т.е. до просто възпроизводство на населението, с което демографският преход от традиционен режим към съвременен приключва. Но редица демографи считат, че установяването на просто възпроизводство далеч не е краят на динамично протичащите промени в смъртността и раждаемостта. Те говорят за опасност от </w:t>
      </w:r>
      <w:r>
        <w:rPr>
          <w:b/>
        </w:rPr>
        <w:t>депопулация</w:t>
      </w:r>
      <w:r>
        <w:rPr/>
        <w:t xml:space="preserve"> – намаляване на броя на населението в резултат на падането на раждаемостта под нивото на простото възпроизводство (за осигуряване на просто възпроизводство на населението е необходимо средният брой деца на една жена да не е по-малък от 2,1). </w:t>
      </w:r>
    </w:p>
    <w:p>
      <w:pPr>
        <w:pStyle w:val="NormalText"/>
        <w:rPr/>
      </w:pPr>
      <w:r>
        <w:rPr/>
        <w:t xml:space="preserve">Демографският преход е закономерност, която се отнася за всички страни в света. Но различните народи се намират на различни фази от този преход. Докато в едни страни той вече е приключил, т.е. в тях е установен съвременен режим на възпроизводство на населението (САЩ, Европа, Канада, Япония, Австралия, други все още се намират в началните му фази (Африка, Океания и др.). Тези различия произтичат от етапите на икономическото, социалното и културното развитие, характерни за различните страни. </w:t>
      </w:r>
    </w:p>
    <w:p>
      <w:pPr>
        <w:pStyle w:val="NormalText"/>
        <w:rPr/>
      </w:pPr>
      <w:r>
        <w:rPr/>
        <w:t xml:space="preserve">Съвременното </w:t>
      </w:r>
      <w:r>
        <w:rPr>
          <w:b/>
        </w:rPr>
        <w:t>демографско състояние</w:t>
      </w:r>
      <w:r>
        <w:rPr/>
        <w:t xml:space="preserve"> на развиващите се страни е свързано с първите периоди на демографския преход – с най-неблагоприятното отношение между равнищата на смъртността и раждаемостта. При тях намаляването на смъртността е далеч по-бързо от намаляването на раждаемостта, което води до лавинообразно увеличаване на населението на тези страни, а и на населението на света. Понастоящем населението на развиващите се страни е повече от 2/3 от общото население на планетата (налице е “демографски взрив”).</w:t>
      </w:r>
    </w:p>
    <w:p>
      <w:pPr>
        <w:pStyle w:val="NormalText"/>
        <w:rPr/>
      </w:pPr>
      <w:r>
        <w:rPr/>
        <w:t xml:space="preserve">В </w:t>
      </w:r>
      <w:r>
        <w:rPr>
          <w:b/>
        </w:rPr>
        <w:t>първия период (етап)</w:t>
      </w:r>
      <w:r>
        <w:rPr/>
        <w:t xml:space="preserve"> на демографския преход се намират редица африкански и азиатски страни. Той се характеризира с:</w:t>
      </w:r>
    </w:p>
    <w:p>
      <w:pPr>
        <w:pStyle w:val="TextBodyIndent"/>
        <w:numPr>
          <w:ilvl w:val="0"/>
          <w:numId w:val="64"/>
        </w:numPr>
        <w:rPr>
          <w:sz w:val="28"/>
        </w:rPr>
      </w:pPr>
      <w:r>
        <w:rPr>
          <w:sz w:val="28"/>
        </w:rPr>
        <w:t>тенденция за сравнително слабо увеличаване на годишния естествен прираст на населението, което се дължи на неособено голямото намаляване на смъртността, при високо, почти стационарно или съвсем слабо намаляващо се равнище на раждаемост;</w:t>
      </w:r>
    </w:p>
    <w:p>
      <w:pPr>
        <w:pStyle w:val="TextBodyIndent"/>
        <w:numPr>
          <w:ilvl w:val="0"/>
          <w:numId w:val="64"/>
        </w:numPr>
        <w:rPr>
          <w:sz w:val="28"/>
        </w:rPr>
      </w:pPr>
      <w:r>
        <w:rPr>
          <w:sz w:val="28"/>
        </w:rPr>
        <w:t>средна продължителност на очаквания бъдещ живот при раждане, по-ниска от 45 години.</w:t>
      </w:r>
    </w:p>
    <w:p>
      <w:pPr>
        <w:pStyle w:val="NormalText"/>
        <w:rPr/>
      </w:pPr>
      <w:r>
        <w:rPr/>
        <w:t xml:space="preserve">Наред с тези типични индикатори за първия период на демографския преход са характерни още: ранно задомяване – висок коефициент на брачност; лошо здравословно състояние (висока заболеваемост и смъртност); изхранване на децата с майчино мляко; продължителен период на въздържане от полов живот след раждане (т.нар. “стерилен период” на жените след раждане), което намалява раждаемостта и увеличава периода между последователните раждания; висока детска смъртност, пораждаща желание да се “замени” загубеното дете с новородено; значимост на децата за икономиката на семейството – източник на доход, социален престиж и инвестиция за поддържане на родителите при остаряването им. </w:t>
      </w:r>
    </w:p>
    <w:p>
      <w:pPr>
        <w:pStyle w:val="NormalText"/>
        <w:rPr/>
      </w:pPr>
      <w:r>
        <w:rPr/>
        <w:t xml:space="preserve">Във </w:t>
      </w:r>
      <w:r>
        <w:rPr>
          <w:b/>
        </w:rPr>
        <w:t>втория период</w:t>
      </w:r>
      <w:r>
        <w:rPr/>
        <w:t xml:space="preserve"> на демографски преход се намират много латино-американски, африкански и азиатски страни от 1980 г. насам. Той се отличава със:</w:t>
      </w:r>
    </w:p>
    <w:p>
      <w:pPr>
        <w:pStyle w:val="TextBodyIndent"/>
        <w:numPr>
          <w:ilvl w:val="0"/>
          <w:numId w:val="85"/>
        </w:numPr>
        <w:rPr/>
      </w:pPr>
      <w:r>
        <w:rPr>
          <w:sz w:val="28"/>
        </w:rPr>
        <w:t>ежегодно увеличаване на естествения прираст на населението следствие на бързото намаляване на равнището на смъртност при сравнително много по-бавното намаляване на раждаемостта;</w:t>
      </w:r>
    </w:p>
    <w:p>
      <w:pPr>
        <w:pStyle w:val="TextBodyIndent"/>
        <w:numPr>
          <w:ilvl w:val="0"/>
          <w:numId w:val="85"/>
        </w:numPr>
        <w:rPr>
          <w:sz w:val="28"/>
        </w:rPr>
      </w:pPr>
      <w:r>
        <w:rPr>
          <w:sz w:val="28"/>
        </w:rPr>
        <w:t>обобщен коефициент на плодовитост между 4 и 5 деца;</w:t>
      </w:r>
    </w:p>
    <w:p>
      <w:pPr>
        <w:pStyle w:val="TextBodyIndent"/>
        <w:numPr>
          <w:ilvl w:val="0"/>
          <w:numId w:val="85"/>
        </w:numPr>
        <w:rPr>
          <w:sz w:val="28"/>
        </w:rPr>
      </w:pPr>
      <w:r>
        <w:rPr>
          <w:sz w:val="28"/>
        </w:rPr>
        <w:t xml:space="preserve">средна продължителност на очаквания бъдещ живот при раждане между 45 и 55 години. </w:t>
      </w:r>
    </w:p>
    <w:p>
      <w:pPr>
        <w:pStyle w:val="NormalText"/>
        <w:rPr/>
      </w:pPr>
      <w:r>
        <w:rPr/>
        <w:t>Други особености на този период са: средно висок коефициент на брачност; подобрено здравословно състояние на жените; намалено, но все още значително кърмене на децата с майчино мляко; значително дълъг, но с тенденция към намаляване период на стерилност на жените след раждане; намаляване на детската смъртност;  намаляване значението на децата като източник на семеен доход и увеличаване на времето за тяхното училищно обучение.</w:t>
      </w:r>
    </w:p>
    <w:p>
      <w:pPr>
        <w:pStyle w:val="TextBodyIndent"/>
        <w:numPr>
          <w:ilvl w:val="0"/>
          <w:numId w:val="30"/>
        </w:numPr>
        <w:rPr/>
      </w:pPr>
      <w:r>
        <w:rPr>
          <w:b/>
          <w:sz w:val="28"/>
        </w:rPr>
        <w:t>Третият период</w:t>
      </w:r>
      <w:r>
        <w:rPr>
          <w:sz w:val="28"/>
        </w:rPr>
        <w:t xml:space="preserve"> на демографския преход се характеризира със:</w:t>
      </w:r>
    </w:p>
    <w:p>
      <w:pPr>
        <w:pStyle w:val="TextBodyIndent"/>
        <w:numPr>
          <w:ilvl w:val="0"/>
          <w:numId w:val="30"/>
        </w:numPr>
        <w:rPr>
          <w:sz w:val="28"/>
        </w:rPr>
      </w:pPr>
      <w:r>
        <w:rPr>
          <w:sz w:val="28"/>
        </w:rPr>
        <w:t>тенденция на ежегодно намаляване на естествения прираст, което се дължи на значителното спадане на равнището на раждаемостта, непокриваща обаче спадащото равнище на смъртност; в резултат на това годишният естествен прираст, макар и да се намалява, е все още значително висок;</w:t>
      </w:r>
    </w:p>
    <w:p>
      <w:pPr>
        <w:pStyle w:val="TextBodyIndent"/>
        <w:numPr>
          <w:ilvl w:val="0"/>
          <w:numId w:val="30"/>
        </w:numPr>
        <w:rPr>
          <w:sz w:val="28"/>
        </w:rPr>
      </w:pPr>
      <w:r>
        <w:rPr>
          <w:sz w:val="28"/>
        </w:rPr>
        <w:t>обобщен коефициент на плодовитост между 3 и 4 деца;</w:t>
      </w:r>
    </w:p>
    <w:p>
      <w:pPr>
        <w:pStyle w:val="TextBodyIndent"/>
        <w:numPr>
          <w:ilvl w:val="0"/>
          <w:numId w:val="30"/>
        </w:numPr>
        <w:rPr>
          <w:sz w:val="28"/>
        </w:rPr>
      </w:pPr>
      <w:r>
        <w:rPr>
          <w:sz w:val="28"/>
        </w:rPr>
        <w:t xml:space="preserve">средна продължителност на очаквания бъдещ живот при раждане между 55 и 65 години. </w:t>
      </w:r>
    </w:p>
    <w:p>
      <w:pPr>
        <w:pStyle w:val="NormalText"/>
        <w:rPr/>
      </w:pPr>
      <w:r>
        <w:rPr/>
        <w:t xml:space="preserve">На този период са свойствени още: намаляване на брачността, тенденция към късни бракове; значително подобряване на здравословното състояние на жените  наред с тенденцията на навлизането им във всички области на обществено-икономическия живот; намаляване на изхранването на децата чрез кърмене (или крайно скъсен период на кърмене), процес на заместване на майчиното мляко със специални детски млечни и други храни; намаляване на периода на женската стерилност след раждане; значително намаляване на детската смъртност и започващо планиране  броя на децата в семейството; обезценяване значението на децата като източник на семеен доход; увеличаване срока на училищното обучение на децата. </w:t>
      </w:r>
    </w:p>
    <w:p>
      <w:pPr>
        <w:pStyle w:val="NormalText"/>
        <w:rPr/>
      </w:pPr>
      <w:r>
        <w:rPr/>
        <w:t xml:space="preserve">В този период се намират някои африкански и азиатски страни след 1980 г., Япония до 1955 г. В него навлизат повечето от развиващите се страни. </w:t>
      </w:r>
    </w:p>
    <w:p>
      <w:pPr>
        <w:pStyle w:val="NormalText"/>
        <w:rPr/>
      </w:pPr>
      <w:r>
        <w:rPr/>
        <w:t xml:space="preserve">Съвременното демографско развитие на развитите страни е свързано с  </w:t>
      </w:r>
      <w:r>
        <w:rPr>
          <w:b/>
        </w:rPr>
        <w:t>четвъртия период</w:t>
      </w:r>
      <w:r>
        <w:rPr/>
        <w:t>, който се характеризира със:</w:t>
      </w:r>
    </w:p>
    <w:p>
      <w:pPr>
        <w:pStyle w:val="TextBodyIndent"/>
        <w:numPr>
          <w:ilvl w:val="0"/>
          <w:numId w:val="87"/>
        </w:numPr>
        <w:rPr>
          <w:sz w:val="28"/>
        </w:rPr>
      </w:pPr>
      <w:r>
        <w:rPr>
          <w:sz w:val="28"/>
        </w:rPr>
        <w:t>силно спаднало равнище на смъртност и намаляваща раждаемост  с тенденция да се доближи и балансира ниското равнище на смъртност, за да се стигне до заместваща раждаемост (раждаемост, която по брой е приблизително равна на броя на смъртните случаи и води до колебания в броя на населението около едно приблизително постоянно равнище); физиологичен минимум на смъртност, респективно нулев естествен прираст на населението;</w:t>
      </w:r>
    </w:p>
    <w:p>
      <w:pPr>
        <w:pStyle w:val="TextBodyIndent"/>
        <w:numPr>
          <w:ilvl w:val="0"/>
          <w:numId w:val="87"/>
        </w:numPr>
        <w:rPr>
          <w:sz w:val="28"/>
        </w:rPr>
      </w:pPr>
      <w:r>
        <w:rPr>
          <w:sz w:val="28"/>
        </w:rPr>
        <w:t>обобщен коефициент на плодовитост под 3 деца;</w:t>
      </w:r>
    </w:p>
    <w:p>
      <w:pPr>
        <w:pStyle w:val="TextBodyIndent"/>
        <w:numPr>
          <w:ilvl w:val="0"/>
          <w:numId w:val="87"/>
        </w:numPr>
        <w:rPr>
          <w:sz w:val="28"/>
        </w:rPr>
      </w:pPr>
      <w:r>
        <w:rPr>
          <w:sz w:val="28"/>
        </w:rPr>
        <w:t>средна продължителност на бъдещ живот при раждане над 65 години.</w:t>
      </w:r>
    </w:p>
    <w:p>
      <w:pPr>
        <w:pStyle w:val="NormalText"/>
        <w:rPr/>
      </w:pPr>
      <w:r>
        <w:rPr/>
        <w:t xml:space="preserve">Специфични за четвъртия период са още следните индикатори: спадащ коефициент на брачност – късни бракове, увеличаване на разводите, подобрено здравно състояние на жените (намалена смъртност и заболеваемост, удължена средна продължителност на живота при раждане и при отделните възрасти); почти преустановено изхранване на децата чрез кърмене или кърмене за кратко време, използване на млечни субстрати или други специфични детски храни; широко навлизане на жената във всички области на обществено-икономическия живот; ниска детска смъртност, преобладаващо планиране броя на децата в семейството;  широко разпространено  училищно обучение на децата. </w:t>
      </w:r>
    </w:p>
    <w:p>
      <w:pPr>
        <w:pStyle w:val="NormalText"/>
        <w:rPr/>
      </w:pPr>
      <w:r>
        <w:rPr/>
        <w:t xml:space="preserve">В този период се намират всички високо развити  страни в Европа (в това число и България), Северна Америка, Източна Азия, Австралия, Нова Зеландия и Южна Африка. Повсеместното намаляване на раждаемостта в Европа поставя много въпросителни относно бъдещето на континента.  В по-голямата част от страните тя се стабилизира на ниво, с което се осигурява простото възпроизвеждане на населението. Например през 1990 г. в Италия средният брой деца, които има една жена е 1.29, в Австрия – 1.4, в Швейцария – 1.59, в Дания, Холандия и Люксембург – 1.6, във Финландия, Унгария и България – 1.7, във Франция и Англия – 1,8.  </w:t>
      </w:r>
    </w:p>
    <w:p>
      <w:pPr>
        <w:pStyle w:val="NormalText"/>
        <w:rPr/>
      </w:pPr>
      <w:r>
        <w:rPr/>
        <w:t xml:space="preserve">При съвременните условия вече се формира и </w:t>
      </w:r>
      <w:r>
        <w:rPr>
          <w:b/>
        </w:rPr>
        <w:t>пети етап</w:t>
      </w:r>
      <w:r>
        <w:rPr/>
        <w:t xml:space="preserve"> на демографско развитие, който предполага повишаване на смъртността над раждаемостта и стигане до </w:t>
      </w:r>
      <w:r>
        <w:rPr>
          <w:b/>
        </w:rPr>
        <w:t>депопулация</w:t>
      </w:r>
      <w:r>
        <w:rPr/>
        <w:t>. В този пети етап попадат преобладаващата част от страните, които днес се намират в преход. Докато в миналото за повечето от тях бе типичен главно третият етап, те много бързо преминаха към петия етап на демографско развитие, който води до чувствително намаляване на населението.</w:t>
      </w:r>
    </w:p>
    <w:p>
      <w:pPr>
        <w:pStyle w:val="NormalText"/>
        <w:rPr/>
      </w:pPr>
      <w:r>
        <w:rPr/>
        <w:t xml:space="preserve">Когато разглеждаме теорията за демографския преход, не трябва да пропускаме и едно ново виждане върху демографското развитие, което се насочва към търсене на ефективно възпроизводство на населението. Счита се, че при съвременните условия най-благоприятният  режим на възпроизводството се постига при умерена раждаемост, ниска смъртност и висока средна продължителност на живота. Към такъв режим на възпроизводство се стремят и постигат най-развитите страни в Европа и света. Днес той е налице в скандинавските страни, някои държави в Средна Европа, Япония и др. </w:t>
      </w:r>
    </w:p>
    <w:p>
      <w:pPr>
        <w:pStyle w:val="NormalText"/>
        <w:rPr/>
      </w:pPr>
      <w:r>
        <w:rPr>
          <w:b/>
        </w:rPr>
        <w:t>Депопулацията</w:t>
      </w:r>
      <w:r>
        <w:rPr/>
        <w:t xml:space="preserve"> у нас непрекъснато се засилва след 1990 г., когато смъртността надвишава раждемостта с 3.4 хиляди души и възлиза на 0.4 на хиляда. През 1991 г. тя се задълбочава и надхвърля 14 хил. души, което означава 1.7 на хиляда. През 1993 г. е 2.9 на хиляда, 1994 г. – 3.8 на хиляда, 1995 г. – 5.0 на хиляда, 1996 г. – 5.4 на хиляда, 1997 г. – 7.0 на хиляда и т.н. Тези тревожни факти говорят, че у нас е налице непрекъснато задълбочаваща се депопулация. По този показател се разминаваме с тенденциите, характерни за развитите страни на Европа и сме в групата на страните с най-засилена депопулация.</w:t>
      </w:r>
    </w:p>
    <w:p>
      <w:pPr>
        <w:pStyle w:val="Heading2"/>
        <w:rPr/>
      </w:pPr>
      <w:bookmarkStart w:id="17" w:name="__RefHeading___Toc89859678"/>
      <w:bookmarkEnd w:id="17"/>
      <w:r>
        <w:rPr/>
        <w:t>4.2. Демографско остаряване на населението в България</w:t>
      </w:r>
    </w:p>
    <w:p>
      <w:pPr>
        <w:pStyle w:val="NormalText"/>
        <w:rPr/>
      </w:pPr>
      <w:r>
        <w:rPr/>
        <w:t>Стари хора, дълголетници и столетници е имало във всички епохи на историческото развитие и те винаги са определяли характера на възрастовата пирамида на населението. В съвременни условия в световен мащаб се наблюдава значителното нарастване на броя на възрастните и старите хора, поради което понятието “</w:t>
      </w:r>
      <w:r>
        <w:rPr>
          <w:b/>
        </w:rPr>
        <w:t>демографско стареене</w:t>
      </w:r>
      <w:r>
        <w:rPr/>
        <w:t xml:space="preserve">” на населението придоби гражданственост. То се изследва като променлива величина в структурата на населението в три основни периода: период до репродукция;  период на активна дейност и трети период – след репродукцията, с последващо оттегляне от трудова дейност. </w:t>
      </w:r>
    </w:p>
    <w:p>
      <w:pPr>
        <w:pStyle w:val="NormalText"/>
        <w:rPr/>
      </w:pPr>
      <w:r>
        <w:rPr/>
        <w:t>Понятието “</w:t>
      </w:r>
      <w:r>
        <w:rPr>
          <w:b/>
        </w:rPr>
        <w:t>демографско остаряване”</w:t>
      </w:r>
      <w:r>
        <w:rPr/>
        <w:t xml:space="preserve"> (54, с. 41 и сл.) измерва стойностите на относителния дял на лицата над 60-годишна възраст към общия брой на населението (според Едуард </w:t>
      </w:r>
      <w:r>
        <w:rPr>
          <w:b/>
        </w:rPr>
        <w:t>Ръсел</w:t>
      </w:r>
      <w:r>
        <w:rPr/>
        <w:t xml:space="preserve">), а по скалата на </w:t>
      </w:r>
      <w:r>
        <w:rPr>
          <w:b/>
        </w:rPr>
        <w:t>Съндберг</w:t>
      </w:r>
      <w:r>
        <w:rPr/>
        <w:t xml:space="preserve"> – промяната в структурата на лицата от трите основни групи: от 0 до 19 г.; от 20 до 59 г.; над 60 и повече години. Според метода на Ръсел, когато относителният дял на лицата над 60 и повече години надмине 12 % населението навлиза в “демографска старост”, а според втория метод “демографско остаряване” настъпва, когато относителният дял на лицата в първата група (от 0 до 19 г.) спадне под 30 %. Населението е младо по индексите на двете методики, когато лицата в групата от 0 до 19 години са над 35 %, а този на лицата над 60 години – под 10 %. Населението има средна, “зряла възраст”, когато групата от 0 до 19 години е между 30 и 35% , а тази на 60 и повече години – между 10 и 12 %.</w:t>
      </w:r>
    </w:p>
    <w:p>
      <w:pPr>
        <w:pStyle w:val="NormalText"/>
        <w:rPr/>
      </w:pPr>
      <w:r>
        <w:rPr/>
        <w:t xml:space="preserve">С други думи, основни и определящи за моделите на демографското остаряване са лицата в групите до 19 години и над 60 години. Необходимо е да се подчертае, че структурата според възрастта говори за младостта или старостта на популацията, но не и за нейното остаряване или подмладяване. В индивидуален план старостта е краен етап на онтогенезата, а стареенето на населението отразява процесите, определящи промяната на неговата структура. Стареенето на индивида е необратим процес и завършва с прекратяване на живота, а “демографското остаряване”е обратимо явление и при действително удължаване на живота и нарастване на броя на младите хора, то може да бъде “спряно” и да настъпи “подмладяване” на населението. </w:t>
      </w:r>
    </w:p>
    <w:p>
      <w:pPr>
        <w:pStyle w:val="NormalText"/>
        <w:rPr/>
      </w:pPr>
      <w:r>
        <w:rPr/>
        <w:t xml:space="preserve">Обобщавайки казаното, може да се направи характеристика на стареенето на населението чрез определяне на </w:t>
      </w:r>
      <w:r>
        <w:rPr>
          <w:b/>
        </w:rPr>
        <w:t>относителния дял на лицата над 60 и повече</w:t>
      </w:r>
      <w:r>
        <w:rPr/>
        <w:t xml:space="preserve"> </w:t>
      </w:r>
      <w:r>
        <w:rPr>
          <w:b/>
        </w:rPr>
        <w:t>години</w:t>
      </w:r>
      <w:r>
        <w:rPr/>
        <w:t>, като се имат пред вид  следните стойности:</w:t>
      </w:r>
    </w:p>
    <w:p>
      <w:pPr>
        <w:pStyle w:val="ListBullet5"/>
        <w:numPr>
          <w:ilvl w:val="0"/>
          <w:numId w:val="4"/>
        </w:numPr>
        <w:ind w:left="964" w:hanging="284"/>
        <w:rPr/>
      </w:pPr>
      <w:r>
        <w:rPr>
          <w:b/>
        </w:rPr>
        <w:t>младо население</w:t>
      </w:r>
      <w:r>
        <w:rPr/>
        <w:t>, когато лицата над 60 години съставляват от 8 % до 10 %;</w:t>
      </w:r>
    </w:p>
    <w:p>
      <w:pPr>
        <w:pStyle w:val="ListBullet5"/>
        <w:numPr>
          <w:ilvl w:val="0"/>
          <w:numId w:val="4"/>
        </w:numPr>
        <w:ind w:left="964" w:hanging="284"/>
        <w:rPr/>
      </w:pPr>
      <w:r>
        <w:rPr>
          <w:b/>
        </w:rPr>
        <w:t>преддверие към стареене</w:t>
      </w:r>
      <w:r>
        <w:rPr/>
        <w:t>, когато лицата над 60 години съставляват от 10 % до 15 %;</w:t>
      </w:r>
    </w:p>
    <w:p>
      <w:pPr>
        <w:pStyle w:val="ListBullet5"/>
        <w:numPr>
          <w:ilvl w:val="0"/>
          <w:numId w:val="4"/>
        </w:numPr>
        <w:ind w:left="964" w:hanging="284"/>
        <w:rPr/>
      </w:pPr>
      <w:r>
        <w:rPr>
          <w:b/>
        </w:rPr>
        <w:t>застаряло население</w:t>
      </w:r>
      <w:r>
        <w:rPr/>
        <w:t>, когато лицата над 60 години съставляват над 15 %.</w:t>
      </w:r>
    </w:p>
    <w:p>
      <w:pPr>
        <w:pStyle w:val="NormalText"/>
        <w:rPr/>
      </w:pPr>
      <w:r>
        <w:rPr>
          <w:b/>
        </w:rPr>
        <w:t xml:space="preserve">Процесът на стареене </w:t>
      </w:r>
      <w:r>
        <w:rPr/>
        <w:t xml:space="preserve">е световен проблем, особено силно изразен за страните от Европейския регион. Неслучайно се използва един символичен израз, че Европа е континентът в “своята есен”. Сериозните демографски промени, засягащи всички страни и народи, определяни от повечето изследователи като “демографски взрив”, се определят от бързото нарастване на числеността на човешката популация. Увеличаването на абсолютния брой на хората в напреднала и старческа възраст е пряко следствие на </w:t>
      </w:r>
      <w:r>
        <w:rPr>
          <w:b/>
        </w:rPr>
        <w:t xml:space="preserve">увеличената  средна продължителност на живота. </w:t>
      </w:r>
      <w:r>
        <w:rPr/>
        <w:t xml:space="preserve">Между факторите, които допринасят за това, са подобрените условия на живот, пълноценното хранене, хигиенните жилища и др. Общото следствие от всестранния прогрес е </w:t>
      </w:r>
      <w:r>
        <w:rPr>
          <w:b/>
        </w:rPr>
        <w:t>намалената смъртност</w:t>
      </w:r>
      <w:r>
        <w:rPr/>
        <w:t xml:space="preserve">. От своя страна </w:t>
      </w:r>
      <w:r>
        <w:rPr>
          <w:b/>
        </w:rPr>
        <w:t xml:space="preserve">намаляването на раждаемостта, </w:t>
      </w:r>
      <w:r>
        <w:rPr/>
        <w:t>което се наблюдава в повечето икономически развити страни, допринася за относителното увеличаване на населението в напреднала и старческа възраст.</w:t>
      </w:r>
    </w:p>
    <w:p>
      <w:pPr>
        <w:pStyle w:val="NormalText"/>
        <w:rPr/>
      </w:pPr>
      <w:r>
        <w:rPr/>
        <w:t>На този общ фон нека да направим анализ на структурата на населението общо за страната.</w:t>
      </w:r>
    </w:p>
    <w:p>
      <w:pPr>
        <w:pStyle w:val="NormalText"/>
        <w:rPr/>
      </w:pPr>
      <w:r>
        <w:rPr/>
        <w:t xml:space="preserve">Прогнозите както в световен мащаб, така и за България са, че се очаква да продължи остаряването на населението и през 21 век. Това се потвърждава в 8 от разработените 11 прогнози на проф. М. </w:t>
      </w:r>
      <w:r>
        <w:rPr>
          <w:b/>
        </w:rPr>
        <w:t>Минков</w:t>
      </w:r>
      <w:r>
        <w:rPr/>
        <w:t xml:space="preserve"> (31, с. 51 и сл.) за непрекъснато застаряване на населението.</w:t>
      </w:r>
    </w:p>
    <w:p>
      <w:pPr>
        <w:pStyle w:val="NormalText"/>
        <w:rPr/>
      </w:pPr>
      <w:r>
        <w:rPr/>
        <w:t>В посочената по-долу таблица № 1 се виждат промените в структурата на населението по възрастови групи и по години общо за страната.</w:t>
      </w:r>
    </w:p>
    <w:p>
      <w:pPr>
        <w:pStyle w:val="TableHeading2"/>
        <w:spacing w:lineRule="auto" w:line="240"/>
        <w:rPr/>
      </w:pPr>
      <w:r>
        <w:rPr/>
        <w:t>Населението на България по възрастови групи</w:t>
        <w:br/>
        <w:t>в хил. души за периода 1920 – 2000 г.</w:t>
      </w:r>
    </w:p>
    <w:tbl>
      <w:tblPr>
        <w:tblW w:w="8797" w:type="dxa"/>
        <w:jc w:val="left"/>
        <w:tblInd w:w="75" w:type="dxa"/>
        <w:tblCellMar>
          <w:top w:w="0" w:type="dxa"/>
          <w:left w:w="108" w:type="dxa"/>
          <w:bottom w:w="0" w:type="dxa"/>
          <w:right w:w="108" w:type="dxa"/>
        </w:tblCellMar>
      </w:tblPr>
      <w:tblGrid>
        <w:gridCol w:w="1558"/>
        <w:gridCol w:w="685"/>
        <w:gridCol w:w="1123"/>
        <w:gridCol w:w="684"/>
        <w:gridCol w:w="1123"/>
        <w:gridCol w:w="684"/>
        <w:gridCol w:w="1123"/>
        <w:gridCol w:w="684"/>
        <w:gridCol w:w="1133"/>
      </w:tblGrid>
      <w:tr>
        <w:trPr>
          <w:cantSplit w:val="true"/>
        </w:trPr>
        <w:tc>
          <w:tcPr>
            <w:tcW w:w="1558" w:type="dxa"/>
            <w:vMerge w:val="restart"/>
            <w:tcBorders>
              <w:top w:val="single" w:sz="4" w:space="0" w:color="000000"/>
              <w:left w:val="single" w:sz="4" w:space="0" w:color="000000"/>
              <w:bottom w:val="single" w:sz="4" w:space="0" w:color="000000"/>
            </w:tcBorders>
            <w:vAlign w:val="center"/>
          </w:tcPr>
          <w:p>
            <w:pPr>
              <w:pStyle w:val="Normal"/>
              <w:spacing w:lineRule="auto" w:line="240" w:before="40" w:after="40"/>
              <w:jc w:val="center"/>
              <w:rPr/>
            </w:pPr>
            <w:r>
              <w:rPr>
                <w:b/>
              </w:rPr>
              <w:t>Възрастови</w:t>
              <w:br/>
              <w:t>групи</w:t>
            </w:r>
          </w:p>
        </w:tc>
        <w:tc>
          <w:tcPr>
            <w:tcW w:w="1808" w:type="dxa"/>
            <w:gridSpan w:val="2"/>
            <w:tcBorders>
              <w:top w:val="single" w:sz="4" w:space="0" w:color="000000"/>
              <w:left w:val="single" w:sz="4" w:space="0" w:color="000000"/>
              <w:bottom w:val="single" w:sz="4" w:space="0" w:color="000000"/>
            </w:tcBorders>
            <w:vAlign w:val="center"/>
          </w:tcPr>
          <w:p>
            <w:pPr>
              <w:pStyle w:val="Normal"/>
              <w:spacing w:lineRule="auto" w:line="240" w:before="40" w:after="40"/>
              <w:jc w:val="center"/>
              <w:rPr>
                <w:b/>
                <w:b/>
              </w:rPr>
            </w:pPr>
            <w:r>
              <w:rPr>
                <w:b/>
              </w:rPr>
              <w:t>1920 г.</w:t>
            </w:r>
          </w:p>
        </w:tc>
        <w:tc>
          <w:tcPr>
            <w:tcW w:w="1807" w:type="dxa"/>
            <w:gridSpan w:val="2"/>
            <w:tcBorders>
              <w:top w:val="single" w:sz="4" w:space="0" w:color="000000"/>
              <w:left w:val="single" w:sz="4" w:space="0" w:color="000000"/>
              <w:bottom w:val="single" w:sz="4" w:space="0" w:color="000000"/>
            </w:tcBorders>
            <w:vAlign w:val="center"/>
          </w:tcPr>
          <w:p>
            <w:pPr>
              <w:pStyle w:val="Normal"/>
              <w:spacing w:lineRule="auto" w:line="240" w:before="40" w:after="40"/>
              <w:jc w:val="center"/>
              <w:rPr>
                <w:b/>
                <w:b/>
              </w:rPr>
            </w:pPr>
            <w:r>
              <w:rPr>
                <w:b/>
              </w:rPr>
              <w:t>1946 г.</w:t>
            </w:r>
          </w:p>
        </w:tc>
        <w:tc>
          <w:tcPr>
            <w:tcW w:w="1807" w:type="dxa"/>
            <w:gridSpan w:val="2"/>
            <w:tcBorders>
              <w:top w:val="single" w:sz="4" w:space="0" w:color="000000"/>
              <w:left w:val="single" w:sz="4" w:space="0" w:color="000000"/>
              <w:bottom w:val="single" w:sz="4" w:space="0" w:color="000000"/>
            </w:tcBorders>
            <w:vAlign w:val="center"/>
          </w:tcPr>
          <w:p>
            <w:pPr>
              <w:pStyle w:val="Normal"/>
              <w:spacing w:lineRule="auto" w:line="240" w:before="40" w:after="40"/>
              <w:jc w:val="center"/>
              <w:rPr>
                <w:b/>
                <w:b/>
              </w:rPr>
            </w:pPr>
            <w:r>
              <w:rPr>
                <w:b/>
              </w:rPr>
              <w:t>1980 г.</w:t>
            </w:r>
          </w:p>
        </w:tc>
        <w:tc>
          <w:tcPr>
            <w:tcW w:w="1817"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40" w:after="40"/>
              <w:jc w:val="center"/>
              <w:rPr>
                <w:b/>
                <w:b/>
                <w:lang w:val="en-US"/>
              </w:rPr>
            </w:pPr>
            <w:r>
              <w:rPr>
                <w:b/>
              </w:rPr>
              <w:t>2000 г.</w:t>
            </w:r>
          </w:p>
        </w:tc>
      </w:tr>
      <w:tr>
        <w:trPr>
          <w:cantSplit w:val="true"/>
        </w:trPr>
        <w:tc>
          <w:tcPr>
            <w:tcW w:w="1558" w:type="dxa"/>
            <w:vMerge w:val="continue"/>
            <w:tcBorders>
              <w:top w:val="single" w:sz="4" w:space="0" w:color="000000"/>
              <w:left w:val="single" w:sz="4" w:space="0" w:color="000000"/>
              <w:bottom w:val="single" w:sz="4" w:space="0" w:color="000000"/>
            </w:tcBorders>
            <w:vAlign w:val="center"/>
          </w:tcPr>
          <w:p>
            <w:pPr>
              <w:pStyle w:val="Normal"/>
              <w:snapToGrid w:val="false"/>
              <w:spacing w:lineRule="auto" w:line="240" w:before="40" w:after="40"/>
              <w:jc w:val="center"/>
              <w:rPr>
                <w:b/>
                <w:b/>
                <w:lang w:val="en-US"/>
              </w:rPr>
            </w:pPr>
            <w:r>
              <w:rPr>
                <w:b/>
                <w:lang w:val="en-US"/>
              </w:rPr>
            </w:r>
          </w:p>
        </w:tc>
        <w:tc>
          <w:tcPr>
            <w:tcW w:w="685" w:type="dxa"/>
            <w:tcBorders>
              <w:top w:val="single" w:sz="4" w:space="0" w:color="000000"/>
              <w:left w:val="single" w:sz="4" w:space="0" w:color="000000"/>
              <w:bottom w:val="single" w:sz="4" w:space="0" w:color="000000"/>
            </w:tcBorders>
            <w:vAlign w:val="center"/>
          </w:tcPr>
          <w:p>
            <w:pPr>
              <w:pStyle w:val="Normal"/>
              <w:spacing w:lineRule="auto" w:line="240" w:before="40" w:after="40"/>
              <w:jc w:val="center"/>
              <w:rPr>
                <w:b/>
                <w:b/>
                <w:lang w:val="en-US"/>
              </w:rPr>
            </w:pPr>
            <w:r>
              <w:rPr>
                <w:b/>
              </w:rPr>
              <w:t>брой</w:t>
            </w:r>
          </w:p>
        </w:tc>
        <w:tc>
          <w:tcPr>
            <w:tcW w:w="1123" w:type="dxa"/>
            <w:tcBorders>
              <w:top w:val="single" w:sz="4" w:space="0" w:color="000000"/>
              <w:left w:val="single" w:sz="4" w:space="0" w:color="000000"/>
              <w:bottom w:val="single" w:sz="4" w:space="0" w:color="000000"/>
            </w:tcBorders>
            <w:vAlign w:val="center"/>
          </w:tcPr>
          <w:p>
            <w:pPr>
              <w:pStyle w:val="Normal"/>
              <w:spacing w:lineRule="auto" w:line="240" w:before="40" w:after="40"/>
              <w:jc w:val="center"/>
              <w:rPr>
                <w:b/>
                <w:b/>
                <w:lang w:val="en-US"/>
              </w:rPr>
            </w:pPr>
            <w:r>
              <w:rPr>
                <w:b/>
              </w:rPr>
              <w:t>процент</w:t>
            </w:r>
          </w:p>
        </w:tc>
        <w:tc>
          <w:tcPr>
            <w:tcW w:w="684" w:type="dxa"/>
            <w:tcBorders>
              <w:top w:val="single" w:sz="4" w:space="0" w:color="000000"/>
              <w:left w:val="single" w:sz="4" w:space="0" w:color="000000"/>
              <w:bottom w:val="single" w:sz="4" w:space="0" w:color="000000"/>
            </w:tcBorders>
            <w:vAlign w:val="center"/>
          </w:tcPr>
          <w:p>
            <w:pPr>
              <w:pStyle w:val="Normal"/>
              <w:spacing w:lineRule="auto" w:line="240" w:before="40" w:after="40"/>
              <w:jc w:val="center"/>
              <w:rPr>
                <w:b/>
                <w:b/>
                <w:lang w:val="en-US"/>
              </w:rPr>
            </w:pPr>
            <w:r>
              <w:rPr>
                <w:b/>
              </w:rPr>
              <w:t>брой</w:t>
            </w:r>
          </w:p>
        </w:tc>
        <w:tc>
          <w:tcPr>
            <w:tcW w:w="1123" w:type="dxa"/>
            <w:tcBorders>
              <w:top w:val="single" w:sz="4" w:space="0" w:color="000000"/>
              <w:left w:val="single" w:sz="4" w:space="0" w:color="000000"/>
              <w:bottom w:val="single" w:sz="4" w:space="0" w:color="000000"/>
            </w:tcBorders>
            <w:vAlign w:val="center"/>
          </w:tcPr>
          <w:p>
            <w:pPr>
              <w:pStyle w:val="Normal"/>
              <w:spacing w:lineRule="auto" w:line="240" w:before="40" w:after="40"/>
              <w:jc w:val="center"/>
              <w:rPr>
                <w:b/>
                <w:b/>
                <w:lang w:val="en-US"/>
              </w:rPr>
            </w:pPr>
            <w:r>
              <w:rPr>
                <w:b/>
              </w:rPr>
              <w:t>процент</w:t>
            </w:r>
          </w:p>
        </w:tc>
        <w:tc>
          <w:tcPr>
            <w:tcW w:w="684" w:type="dxa"/>
            <w:tcBorders>
              <w:top w:val="single" w:sz="4" w:space="0" w:color="000000"/>
              <w:left w:val="single" w:sz="4" w:space="0" w:color="000000"/>
              <w:bottom w:val="single" w:sz="4" w:space="0" w:color="000000"/>
            </w:tcBorders>
            <w:vAlign w:val="center"/>
          </w:tcPr>
          <w:p>
            <w:pPr>
              <w:pStyle w:val="Normal"/>
              <w:spacing w:lineRule="auto" w:line="240" w:before="40" w:after="40"/>
              <w:jc w:val="center"/>
              <w:rPr>
                <w:b/>
                <w:b/>
                <w:lang w:val="en-US"/>
              </w:rPr>
            </w:pPr>
            <w:r>
              <w:rPr>
                <w:b/>
              </w:rPr>
              <w:t>брой</w:t>
            </w:r>
          </w:p>
        </w:tc>
        <w:tc>
          <w:tcPr>
            <w:tcW w:w="1123" w:type="dxa"/>
            <w:tcBorders>
              <w:top w:val="single" w:sz="4" w:space="0" w:color="000000"/>
              <w:left w:val="single" w:sz="4" w:space="0" w:color="000000"/>
              <w:bottom w:val="single" w:sz="4" w:space="0" w:color="000000"/>
            </w:tcBorders>
            <w:vAlign w:val="center"/>
          </w:tcPr>
          <w:p>
            <w:pPr>
              <w:pStyle w:val="Normal"/>
              <w:spacing w:lineRule="auto" w:line="240" w:before="40" w:after="40"/>
              <w:jc w:val="center"/>
              <w:rPr>
                <w:b/>
                <w:b/>
                <w:lang w:val="en-US"/>
              </w:rPr>
            </w:pPr>
            <w:r>
              <w:rPr>
                <w:b/>
              </w:rPr>
              <w:t>процент</w:t>
            </w:r>
          </w:p>
        </w:tc>
        <w:tc>
          <w:tcPr>
            <w:tcW w:w="684" w:type="dxa"/>
            <w:tcBorders>
              <w:top w:val="single" w:sz="4" w:space="0" w:color="000000"/>
              <w:left w:val="single" w:sz="4" w:space="0" w:color="000000"/>
              <w:bottom w:val="single" w:sz="4" w:space="0" w:color="000000"/>
            </w:tcBorders>
            <w:vAlign w:val="center"/>
          </w:tcPr>
          <w:p>
            <w:pPr>
              <w:pStyle w:val="Normal"/>
              <w:spacing w:lineRule="auto" w:line="240" w:before="40" w:after="40"/>
              <w:jc w:val="center"/>
              <w:rPr>
                <w:b/>
                <w:b/>
                <w:lang w:val="en-US"/>
              </w:rPr>
            </w:pPr>
            <w:r>
              <w:rPr>
                <w:b/>
              </w:rPr>
              <w:t>брой</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40" w:after="40"/>
              <w:jc w:val="center"/>
              <w:rPr>
                <w:b/>
                <w:b/>
              </w:rPr>
            </w:pPr>
            <w:r>
              <w:rPr>
                <w:b/>
              </w:rPr>
              <w:t>процент</w:t>
            </w:r>
          </w:p>
        </w:tc>
      </w:tr>
      <w:tr>
        <w:trPr/>
        <w:tc>
          <w:tcPr>
            <w:tcW w:w="1558" w:type="dxa"/>
            <w:tcBorders>
              <w:top w:val="single" w:sz="4" w:space="0" w:color="000000"/>
              <w:left w:val="single" w:sz="4" w:space="0" w:color="000000"/>
              <w:bottom w:val="single" w:sz="4" w:space="0" w:color="000000"/>
            </w:tcBorders>
          </w:tcPr>
          <w:p>
            <w:pPr>
              <w:pStyle w:val="Normal"/>
              <w:spacing w:lineRule="auto" w:line="240" w:before="40" w:after="40"/>
              <w:rPr/>
            </w:pPr>
            <w:r>
              <w:rPr/>
              <w:t>До 19 год.</w:t>
            </w:r>
          </w:p>
        </w:tc>
        <w:tc>
          <w:tcPr>
            <w:tcW w:w="685" w:type="dxa"/>
            <w:tcBorders>
              <w:top w:val="single" w:sz="4" w:space="0" w:color="000000"/>
              <w:left w:val="single" w:sz="4" w:space="0" w:color="000000"/>
              <w:bottom w:val="single" w:sz="4" w:space="0" w:color="000000"/>
            </w:tcBorders>
          </w:tcPr>
          <w:p>
            <w:pPr>
              <w:pStyle w:val="Normal"/>
              <w:spacing w:lineRule="auto" w:line="240" w:before="40" w:after="40"/>
              <w:jc w:val="center"/>
              <w:rPr/>
            </w:pPr>
            <w:r>
              <w:rPr/>
              <w:t>2294</w:t>
            </w:r>
          </w:p>
        </w:tc>
        <w:tc>
          <w:tcPr>
            <w:tcW w:w="1123" w:type="dxa"/>
            <w:tcBorders>
              <w:top w:val="single" w:sz="4" w:space="0" w:color="000000"/>
              <w:left w:val="single" w:sz="4" w:space="0" w:color="000000"/>
              <w:bottom w:val="single" w:sz="4" w:space="0" w:color="000000"/>
            </w:tcBorders>
          </w:tcPr>
          <w:p>
            <w:pPr>
              <w:pStyle w:val="Normal"/>
              <w:spacing w:lineRule="auto" w:line="240" w:before="40" w:after="40"/>
              <w:jc w:val="center"/>
              <w:rPr/>
            </w:pPr>
            <w:r>
              <w:rPr/>
              <w:t>47.4</w:t>
            </w:r>
          </w:p>
        </w:tc>
        <w:tc>
          <w:tcPr>
            <w:tcW w:w="684" w:type="dxa"/>
            <w:tcBorders>
              <w:top w:val="single" w:sz="4" w:space="0" w:color="000000"/>
              <w:left w:val="single" w:sz="4" w:space="0" w:color="000000"/>
              <w:bottom w:val="single" w:sz="4" w:space="0" w:color="000000"/>
            </w:tcBorders>
          </w:tcPr>
          <w:p>
            <w:pPr>
              <w:pStyle w:val="Normal"/>
              <w:spacing w:lineRule="auto" w:line="240" w:before="40" w:after="40"/>
              <w:jc w:val="center"/>
              <w:rPr/>
            </w:pPr>
            <w:r>
              <w:rPr/>
              <w:t>2655</w:t>
            </w:r>
          </w:p>
        </w:tc>
        <w:tc>
          <w:tcPr>
            <w:tcW w:w="1123" w:type="dxa"/>
            <w:tcBorders>
              <w:top w:val="single" w:sz="4" w:space="0" w:color="000000"/>
              <w:left w:val="single" w:sz="4" w:space="0" w:color="000000"/>
              <w:bottom w:val="single" w:sz="4" w:space="0" w:color="000000"/>
            </w:tcBorders>
          </w:tcPr>
          <w:p>
            <w:pPr>
              <w:pStyle w:val="Normal"/>
              <w:spacing w:lineRule="auto" w:line="240" w:before="40" w:after="40"/>
              <w:jc w:val="center"/>
              <w:rPr/>
            </w:pPr>
            <w:r>
              <w:rPr/>
              <w:t>37.3</w:t>
            </w:r>
          </w:p>
        </w:tc>
        <w:tc>
          <w:tcPr>
            <w:tcW w:w="684" w:type="dxa"/>
            <w:tcBorders>
              <w:top w:val="single" w:sz="4" w:space="0" w:color="000000"/>
              <w:left w:val="single" w:sz="4" w:space="0" w:color="000000"/>
              <w:bottom w:val="single" w:sz="4" w:space="0" w:color="000000"/>
            </w:tcBorders>
          </w:tcPr>
          <w:p>
            <w:pPr>
              <w:pStyle w:val="Normal"/>
              <w:spacing w:lineRule="auto" w:line="240" w:before="40" w:after="40"/>
              <w:jc w:val="center"/>
              <w:rPr>
                <w:lang w:val="en-US"/>
              </w:rPr>
            </w:pPr>
            <w:r>
              <w:rPr/>
              <w:t>2582</w:t>
            </w:r>
          </w:p>
        </w:tc>
        <w:tc>
          <w:tcPr>
            <w:tcW w:w="1123" w:type="dxa"/>
            <w:tcBorders>
              <w:top w:val="single" w:sz="4" w:space="0" w:color="000000"/>
              <w:left w:val="single" w:sz="4" w:space="0" w:color="000000"/>
              <w:bottom w:val="single" w:sz="4" w:space="0" w:color="000000"/>
            </w:tcBorders>
          </w:tcPr>
          <w:p>
            <w:pPr>
              <w:pStyle w:val="Normal"/>
              <w:spacing w:lineRule="auto" w:line="240" w:before="40" w:after="40"/>
              <w:jc w:val="center"/>
              <w:rPr/>
            </w:pPr>
            <w:r>
              <w:rPr/>
              <w:t>29.1</w:t>
            </w:r>
          </w:p>
        </w:tc>
        <w:tc>
          <w:tcPr>
            <w:tcW w:w="684" w:type="dxa"/>
            <w:tcBorders>
              <w:top w:val="single" w:sz="4" w:space="0" w:color="000000"/>
              <w:left w:val="single" w:sz="4" w:space="0" w:color="000000"/>
              <w:bottom w:val="single" w:sz="4" w:space="0" w:color="000000"/>
            </w:tcBorders>
          </w:tcPr>
          <w:p>
            <w:pPr>
              <w:pStyle w:val="Normal"/>
              <w:spacing w:lineRule="auto" w:line="240" w:before="40" w:after="40"/>
              <w:jc w:val="center"/>
              <w:rPr>
                <w:lang w:val="en-US"/>
              </w:rPr>
            </w:pPr>
            <w:r>
              <w:rPr/>
              <w:t>1499</w:t>
            </w:r>
          </w:p>
        </w:tc>
        <w:tc>
          <w:tcPr>
            <w:tcW w:w="1133" w:type="dxa"/>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jc w:val="center"/>
              <w:rPr/>
            </w:pPr>
            <w:r>
              <w:rPr/>
              <w:t>18.1</w:t>
            </w:r>
          </w:p>
        </w:tc>
      </w:tr>
      <w:tr>
        <w:trPr/>
        <w:tc>
          <w:tcPr>
            <w:tcW w:w="1558" w:type="dxa"/>
            <w:tcBorders>
              <w:top w:val="single" w:sz="4" w:space="0" w:color="000000"/>
              <w:left w:val="single" w:sz="4" w:space="0" w:color="000000"/>
              <w:bottom w:val="single" w:sz="4" w:space="0" w:color="000000"/>
            </w:tcBorders>
          </w:tcPr>
          <w:p>
            <w:pPr>
              <w:pStyle w:val="Normal"/>
              <w:spacing w:lineRule="auto" w:line="240" w:before="40" w:after="40"/>
              <w:rPr/>
            </w:pPr>
            <w:r>
              <w:rPr/>
              <w:t>20 – 59 г.</w:t>
            </w:r>
          </w:p>
        </w:tc>
        <w:tc>
          <w:tcPr>
            <w:tcW w:w="685" w:type="dxa"/>
            <w:tcBorders>
              <w:top w:val="single" w:sz="4" w:space="0" w:color="000000"/>
              <w:left w:val="single" w:sz="4" w:space="0" w:color="000000"/>
              <w:bottom w:val="single" w:sz="4" w:space="0" w:color="000000"/>
            </w:tcBorders>
          </w:tcPr>
          <w:p>
            <w:pPr>
              <w:pStyle w:val="Normal"/>
              <w:spacing w:lineRule="auto" w:line="240" w:before="40" w:after="40"/>
              <w:jc w:val="center"/>
              <w:rPr>
                <w:lang w:val="en-US"/>
              </w:rPr>
            </w:pPr>
            <w:r>
              <w:rPr/>
              <w:t>2139</w:t>
            </w:r>
          </w:p>
        </w:tc>
        <w:tc>
          <w:tcPr>
            <w:tcW w:w="1123" w:type="dxa"/>
            <w:tcBorders>
              <w:top w:val="single" w:sz="4" w:space="0" w:color="000000"/>
              <w:left w:val="single" w:sz="4" w:space="0" w:color="000000"/>
              <w:bottom w:val="single" w:sz="4" w:space="0" w:color="000000"/>
            </w:tcBorders>
          </w:tcPr>
          <w:p>
            <w:pPr>
              <w:pStyle w:val="Normal"/>
              <w:spacing w:lineRule="auto" w:line="240" w:before="40" w:after="40"/>
              <w:jc w:val="center"/>
              <w:rPr/>
            </w:pPr>
            <w:r>
              <w:rPr/>
              <w:t>44.1</w:t>
            </w:r>
          </w:p>
        </w:tc>
        <w:tc>
          <w:tcPr>
            <w:tcW w:w="684" w:type="dxa"/>
            <w:tcBorders>
              <w:top w:val="single" w:sz="4" w:space="0" w:color="000000"/>
              <w:left w:val="single" w:sz="4" w:space="0" w:color="000000"/>
              <w:bottom w:val="single" w:sz="4" w:space="0" w:color="000000"/>
            </w:tcBorders>
          </w:tcPr>
          <w:p>
            <w:pPr>
              <w:pStyle w:val="Normal"/>
              <w:spacing w:lineRule="auto" w:line="240" w:before="40" w:after="40"/>
              <w:jc w:val="center"/>
              <w:rPr>
                <w:lang w:val="en-US"/>
              </w:rPr>
            </w:pPr>
            <w:r>
              <w:rPr/>
              <w:t>3701</w:t>
            </w:r>
          </w:p>
        </w:tc>
        <w:tc>
          <w:tcPr>
            <w:tcW w:w="1123" w:type="dxa"/>
            <w:tcBorders>
              <w:top w:val="single" w:sz="4" w:space="0" w:color="000000"/>
              <w:left w:val="single" w:sz="4" w:space="0" w:color="000000"/>
              <w:bottom w:val="single" w:sz="4" w:space="0" w:color="000000"/>
            </w:tcBorders>
          </w:tcPr>
          <w:p>
            <w:pPr>
              <w:pStyle w:val="Normal"/>
              <w:spacing w:lineRule="auto" w:line="240" w:before="40" w:after="40"/>
              <w:jc w:val="center"/>
              <w:rPr/>
            </w:pPr>
            <w:r>
              <w:rPr/>
              <w:t>52.7</w:t>
            </w:r>
          </w:p>
        </w:tc>
        <w:tc>
          <w:tcPr>
            <w:tcW w:w="684" w:type="dxa"/>
            <w:tcBorders>
              <w:top w:val="single" w:sz="4" w:space="0" w:color="000000"/>
              <w:left w:val="single" w:sz="4" w:space="0" w:color="000000"/>
              <w:bottom w:val="single" w:sz="4" w:space="0" w:color="000000"/>
            </w:tcBorders>
          </w:tcPr>
          <w:p>
            <w:pPr>
              <w:pStyle w:val="Normal"/>
              <w:spacing w:lineRule="auto" w:line="240" w:before="40" w:after="40"/>
              <w:jc w:val="center"/>
              <w:rPr>
                <w:lang w:val="en-US"/>
              </w:rPr>
            </w:pPr>
            <w:r>
              <w:rPr/>
              <w:t>5282</w:t>
            </w:r>
          </w:p>
        </w:tc>
        <w:tc>
          <w:tcPr>
            <w:tcW w:w="1123" w:type="dxa"/>
            <w:tcBorders>
              <w:top w:val="single" w:sz="4" w:space="0" w:color="000000"/>
              <w:left w:val="single" w:sz="4" w:space="0" w:color="000000"/>
              <w:bottom w:val="single" w:sz="4" w:space="0" w:color="000000"/>
            </w:tcBorders>
          </w:tcPr>
          <w:p>
            <w:pPr>
              <w:pStyle w:val="Normal"/>
              <w:spacing w:lineRule="auto" w:line="240" w:before="40" w:after="40"/>
              <w:jc w:val="center"/>
              <w:rPr/>
            </w:pPr>
            <w:r>
              <w:rPr/>
              <w:t>55.1</w:t>
            </w:r>
          </w:p>
        </w:tc>
        <w:tc>
          <w:tcPr>
            <w:tcW w:w="684" w:type="dxa"/>
            <w:tcBorders>
              <w:top w:val="single" w:sz="4" w:space="0" w:color="000000"/>
              <w:left w:val="single" w:sz="4" w:space="0" w:color="000000"/>
              <w:bottom w:val="single" w:sz="4" w:space="0" w:color="000000"/>
            </w:tcBorders>
          </w:tcPr>
          <w:p>
            <w:pPr>
              <w:pStyle w:val="Normal"/>
              <w:spacing w:lineRule="auto" w:line="240" w:before="40" w:after="40"/>
              <w:jc w:val="center"/>
              <w:rPr>
                <w:lang w:val="en-US"/>
              </w:rPr>
            </w:pPr>
            <w:r>
              <w:rPr/>
              <w:t>4750</w:t>
            </w:r>
          </w:p>
        </w:tc>
        <w:tc>
          <w:tcPr>
            <w:tcW w:w="1133" w:type="dxa"/>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jc w:val="center"/>
              <w:rPr/>
            </w:pPr>
            <w:r>
              <w:rPr/>
              <w:t>57.3</w:t>
            </w:r>
          </w:p>
        </w:tc>
      </w:tr>
      <w:tr>
        <w:trPr/>
        <w:tc>
          <w:tcPr>
            <w:tcW w:w="1558" w:type="dxa"/>
            <w:tcBorders>
              <w:top w:val="single" w:sz="4" w:space="0" w:color="000000"/>
              <w:left w:val="single" w:sz="4" w:space="0" w:color="000000"/>
              <w:bottom w:val="single" w:sz="4" w:space="0" w:color="000000"/>
            </w:tcBorders>
          </w:tcPr>
          <w:p>
            <w:pPr>
              <w:pStyle w:val="Normal"/>
              <w:spacing w:lineRule="auto" w:line="240" w:before="40" w:after="40"/>
              <w:rPr/>
            </w:pPr>
            <w:r>
              <w:rPr/>
              <w:t>60 год.</w:t>
            </w:r>
          </w:p>
        </w:tc>
        <w:tc>
          <w:tcPr>
            <w:tcW w:w="685" w:type="dxa"/>
            <w:tcBorders>
              <w:top w:val="single" w:sz="4" w:space="0" w:color="000000"/>
              <w:left w:val="single" w:sz="4" w:space="0" w:color="000000"/>
              <w:bottom w:val="single" w:sz="4" w:space="0" w:color="000000"/>
            </w:tcBorders>
          </w:tcPr>
          <w:p>
            <w:pPr>
              <w:pStyle w:val="Normal"/>
              <w:spacing w:lineRule="auto" w:line="240" w:before="40" w:after="40"/>
              <w:jc w:val="center"/>
              <w:rPr>
                <w:lang w:val="en-US"/>
              </w:rPr>
            </w:pPr>
            <w:r>
              <w:rPr/>
              <w:t>414</w:t>
            </w:r>
          </w:p>
        </w:tc>
        <w:tc>
          <w:tcPr>
            <w:tcW w:w="1123" w:type="dxa"/>
            <w:tcBorders>
              <w:top w:val="single" w:sz="4" w:space="0" w:color="000000"/>
              <w:left w:val="single" w:sz="4" w:space="0" w:color="000000"/>
              <w:bottom w:val="single" w:sz="4" w:space="0" w:color="000000"/>
            </w:tcBorders>
          </w:tcPr>
          <w:p>
            <w:pPr>
              <w:pStyle w:val="Normal"/>
              <w:spacing w:lineRule="auto" w:line="240" w:before="40" w:after="40"/>
              <w:jc w:val="center"/>
              <w:rPr/>
            </w:pPr>
            <w:r>
              <w:rPr/>
              <w:t>8.5</w:t>
            </w:r>
          </w:p>
        </w:tc>
        <w:tc>
          <w:tcPr>
            <w:tcW w:w="684" w:type="dxa"/>
            <w:tcBorders>
              <w:top w:val="single" w:sz="4" w:space="0" w:color="000000"/>
              <w:left w:val="single" w:sz="4" w:space="0" w:color="000000"/>
              <w:bottom w:val="single" w:sz="4" w:space="0" w:color="000000"/>
            </w:tcBorders>
          </w:tcPr>
          <w:p>
            <w:pPr>
              <w:pStyle w:val="Normal"/>
              <w:spacing w:lineRule="auto" w:line="240" w:before="40" w:after="40"/>
              <w:jc w:val="center"/>
              <w:rPr>
                <w:lang w:val="en-US"/>
              </w:rPr>
            </w:pPr>
            <w:r>
              <w:rPr/>
              <w:t>673</w:t>
            </w:r>
          </w:p>
        </w:tc>
        <w:tc>
          <w:tcPr>
            <w:tcW w:w="1123" w:type="dxa"/>
            <w:tcBorders>
              <w:top w:val="single" w:sz="4" w:space="0" w:color="000000"/>
              <w:left w:val="single" w:sz="4" w:space="0" w:color="000000"/>
              <w:bottom w:val="single" w:sz="4" w:space="0" w:color="000000"/>
            </w:tcBorders>
          </w:tcPr>
          <w:p>
            <w:pPr>
              <w:pStyle w:val="Normal"/>
              <w:spacing w:lineRule="auto" w:line="240" w:before="40" w:after="40"/>
              <w:jc w:val="center"/>
              <w:rPr/>
            </w:pPr>
            <w:r>
              <w:rPr/>
              <w:t>9.6</w:t>
            </w:r>
          </w:p>
        </w:tc>
        <w:tc>
          <w:tcPr>
            <w:tcW w:w="684" w:type="dxa"/>
            <w:tcBorders>
              <w:top w:val="single" w:sz="4" w:space="0" w:color="000000"/>
              <w:left w:val="single" w:sz="4" w:space="0" w:color="000000"/>
              <w:bottom w:val="single" w:sz="4" w:space="0" w:color="000000"/>
            </w:tcBorders>
          </w:tcPr>
          <w:p>
            <w:pPr>
              <w:pStyle w:val="Normal"/>
              <w:spacing w:lineRule="auto" w:line="240" w:before="40" w:after="40"/>
              <w:jc w:val="center"/>
              <w:rPr>
                <w:lang w:val="en-US"/>
              </w:rPr>
            </w:pPr>
            <w:r>
              <w:rPr/>
              <w:t>1407</w:t>
            </w:r>
          </w:p>
        </w:tc>
        <w:tc>
          <w:tcPr>
            <w:tcW w:w="1123" w:type="dxa"/>
            <w:tcBorders>
              <w:top w:val="single" w:sz="4" w:space="0" w:color="000000"/>
              <w:left w:val="single" w:sz="4" w:space="0" w:color="000000"/>
              <w:bottom w:val="single" w:sz="4" w:space="0" w:color="000000"/>
            </w:tcBorders>
          </w:tcPr>
          <w:p>
            <w:pPr>
              <w:pStyle w:val="Normal"/>
              <w:spacing w:lineRule="auto" w:line="240" w:before="40" w:after="40"/>
              <w:jc w:val="center"/>
              <w:rPr/>
            </w:pPr>
            <w:r>
              <w:rPr/>
              <w:t>15.8</w:t>
            </w:r>
          </w:p>
        </w:tc>
        <w:tc>
          <w:tcPr>
            <w:tcW w:w="684" w:type="dxa"/>
            <w:tcBorders>
              <w:top w:val="single" w:sz="4" w:space="0" w:color="000000"/>
              <w:left w:val="single" w:sz="4" w:space="0" w:color="000000"/>
              <w:bottom w:val="single" w:sz="4" w:space="0" w:color="000000"/>
            </w:tcBorders>
          </w:tcPr>
          <w:p>
            <w:pPr>
              <w:pStyle w:val="Normal"/>
              <w:spacing w:lineRule="auto" w:line="240" w:before="40" w:after="40"/>
              <w:jc w:val="center"/>
              <w:rPr>
                <w:lang w:val="en-US"/>
              </w:rPr>
            </w:pPr>
            <w:r>
              <w:rPr/>
              <w:t>2034</w:t>
            </w:r>
          </w:p>
        </w:tc>
        <w:tc>
          <w:tcPr>
            <w:tcW w:w="1133" w:type="dxa"/>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jc w:val="center"/>
              <w:rPr/>
            </w:pPr>
            <w:r>
              <w:rPr/>
              <w:t>24.6</w:t>
            </w:r>
          </w:p>
        </w:tc>
      </w:tr>
      <w:tr>
        <w:trPr/>
        <w:tc>
          <w:tcPr>
            <w:tcW w:w="1558" w:type="dxa"/>
            <w:tcBorders>
              <w:top w:val="single" w:sz="4" w:space="0" w:color="000000"/>
              <w:left w:val="single" w:sz="4" w:space="0" w:color="000000"/>
              <w:bottom w:val="single" w:sz="4" w:space="0" w:color="000000"/>
            </w:tcBorders>
          </w:tcPr>
          <w:p>
            <w:pPr>
              <w:pStyle w:val="Normal"/>
              <w:spacing w:lineRule="auto" w:line="240" w:before="40" w:after="40"/>
              <w:rPr/>
            </w:pPr>
            <w:r>
              <w:rPr/>
              <w:t>Общо</w:t>
            </w:r>
          </w:p>
        </w:tc>
        <w:tc>
          <w:tcPr>
            <w:tcW w:w="685" w:type="dxa"/>
            <w:tcBorders>
              <w:top w:val="single" w:sz="4" w:space="0" w:color="000000"/>
              <w:left w:val="single" w:sz="4" w:space="0" w:color="000000"/>
              <w:bottom w:val="single" w:sz="4" w:space="0" w:color="000000"/>
            </w:tcBorders>
          </w:tcPr>
          <w:p>
            <w:pPr>
              <w:pStyle w:val="Normal"/>
              <w:spacing w:lineRule="auto" w:line="240" w:before="40" w:after="40"/>
              <w:jc w:val="center"/>
              <w:rPr>
                <w:lang w:val="en-US"/>
              </w:rPr>
            </w:pPr>
            <w:r>
              <w:rPr/>
              <w:t>4847</w:t>
            </w:r>
          </w:p>
        </w:tc>
        <w:tc>
          <w:tcPr>
            <w:tcW w:w="1123" w:type="dxa"/>
            <w:tcBorders>
              <w:top w:val="single" w:sz="4" w:space="0" w:color="000000"/>
              <w:left w:val="single" w:sz="4" w:space="0" w:color="000000"/>
              <w:bottom w:val="single" w:sz="4" w:space="0" w:color="000000"/>
            </w:tcBorders>
          </w:tcPr>
          <w:p>
            <w:pPr>
              <w:pStyle w:val="Normal"/>
              <w:spacing w:lineRule="auto" w:line="240" w:before="40" w:after="40"/>
              <w:jc w:val="center"/>
              <w:rPr/>
            </w:pPr>
            <w:r>
              <w:rPr/>
              <w:t>100.0</w:t>
            </w:r>
          </w:p>
        </w:tc>
        <w:tc>
          <w:tcPr>
            <w:tcW w:w="684" w:type="dxa"/>
            <w:tcBorders>
              <w:top w:val="single" w:sz="4" w:space="0" w:color="000000"/>
              <w:left w:val="single" w:sz="4" w:space="0" w:color="000000"/>
              <w:bottom w:val="single" w:sz="4" w:space="0" w:color="000000"/>
            </w:tcBorders>
          </w:tcPr>
          <w:p>
            <w:pPr>
              <w:pStyle w:val="Normal"/>
              <w:spacing w:lineRule="auto" w:line="240" w:before="40" w:after="40"/>
              <w:jc w:val="center"/>
              <w:rPr>
                <w:lang w:val="en-US"/>
              </w:rPr>
            </w:pPr>
            <w:r>
              <w:rPr/>
              <w:t>7029</w:t>
            </w:r>
          </w:p>
        </w:tc>
        <w:tc>
          <w:tcPr>
            <w:tcW w:w="1123" w:type="dxa"/>
            <w:tcBorders>
              <w:top w:val="single" w:sz="4" w:space="0" w:color="000000"/>
              <w:left w:val="single" w:sz="4" w:space="0" w:color="000000"/>
              <w:bottom w:val="single" w:sz="4" w:space="0" w:color="000000"/>
            </w:tcBorders>
          </w:tcPr>
          <w:p>
            <w:pPr>
              <w:pStyle w:val="Normal"/>
              <w:spacing w:lineRule="auto" w:line="240" w:before="40" w:after="40"/>
              <w:jc w:val="center"/>
              <w:rPr/>
            </w:pPr>
            <w:r>
              <w:rPr/>
              <w:t>100.0</w:t>
            </w:r>
          </w:p>
        </w:tc>
        <w:tc>
          <w:tcPr>
            <w:tcW w:w="684" w:type="dxa"/>
            <w:tcBorders>
              <w:top w:val="single" w:sz="4" w:space="0" w:color="000000"/>
              <w:left w:val="single" w:sz="4" w:space="0" w:color="000000"/>
              <w:bottom w:val="single" w:sz="4" w:space="0" w:color="000000"/>
            </w:tcBorders>
          </w:tcPr>
          <w:p>
            <w:pPr>
              <w:pStyle w:val="Normal"/>
              <w:spacing w:lineRule="auto" w:line="240" w:before="40" w:after="40"/>
              <w:jc w:val="center"/>
              <w:rPr>
                <w:lang w:val="en-US"/>
              </w:rPr>
            </w:pPr>
            <w:r>
              <w:rPr/>
              <w:t>9271</w:t>
            </w:r>
          </w:p>
        </w:tc>
        <w:tc>
          <w:tcPr>
            <w:tcW w:w="1123" w:type="dxa"/>
            <w:tcBorders>
              <w:top w:val="single" w:sz="4" w:space="0" w:color="000000"/>
              <w:left w:val="single" w:sz="4" w:space="0" w:color="000000"/>
              <w:bottom w:val="single" w:sz="4" w:space="0" w:color="000000"/>
            </w:tcBorders>
          </w:tcPr>
          <w:p>
            <w:pPr>
              <w:pStyle w:val="Normal"/>
              <w:spacing w:lineRule="auto" w:line="240" w:before="40" w:after="40"/>
              <w:jc w:val="center"/>
              <w:rPr/>
            </w:pPr>
            <w:r>
              <w:rPr/>
              <w:t>100.0</w:t>
            </w:r>
          </w:p>
        </w:tc>
        <w:tc>
          <w:tcPr>
            <w:tcW w:w="684" w:type="dxa"/>
            <w:tcBorders>
              <w:top w:val="single" w:sz="4" w:space="0" w:color="000000"/>
              <w:left w:val="single" w:sz="4" w:space="0" w:color="000000"/>
              <w:bottom w:val="single" w:sz="4" w:space="0" w:color="000000"/>
            </w:tcBorders>
          </w:tcPr>
          <w:p>
            <w:pPr>
              <w:pStyle w:val="Normal"/>
              <w:spacing w:lineRule="auto" w:line="240" w:before="40" w:after="40"/>
              <w:jc w:val="center"/>
              <w:rPr>
                <w:lang w:val="en-US"/>
              </w:rPr>
            </w:pPr>
            <w:r>
              <w:rPr/>
              <w:t>8283</w:t>
            </w:r>
          </w:p>
        </w:tc>
        <w:tc>
          <w:tcPr>
            <w:tcW w:w="1133" w:type="dxa"/>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jc w:val="center"/>
              <w:rPr/>
            </w:pPr>
            <w:r>
              <w:rPr/>
              <w:t>100.0</w:t>
            </w:r>
          </w:p>
        </w:tc>
      </w:tr>
    </w:tbl>
    <w:p>
      <w:pPr>
        <w:pStyle w:val="Normal"/>
        <w:spacing w:before="120" w:after="0"/>
        <w:jc w:val="center"/>
        <w:rPr>
          <w:b/>
          <w:b/>
        </w:rPr>
      </w:pPr>
      <w:r>
        <w:rPr>
          <w:b/>
        </w:rPr>
        <w:t>Таблица № 1</w:t>
      </w:r>
    </w:p>
    <w:p>
      <w:pPr>
        <w:pStyle w:val="NormalText"/>
        <w:rPr>
          <w:b/>
          <w:b/>
          <w:lang w:val="en-US"/>
        </w:rPr>
      </w:pPr>
      <w:r>
        <w:rPr>
          <w:b/>
          <w:lang w:val="en-US"/>
        </w:rPr>
      </w:r>
    </w:p>
    <w:p>
      <w:pPr>
        <w:pStyle w:val="NormalText"/>
        <w:rPr/>
      </w:pPr>
      <w:r>
        <w:rPr/>
        <w:t>Данните показват, че след 1920 г. стареенето в България е започнало да се изявява по-интензивно откъм основата на възрастовата пирамида, при което относителният дял на подрастващите е намалял с 10 пункта при незначително нарастване на относителния дял на старите хора. От 1946 г. до 2000 г. относителният дял на младото поколение непрекъснато намалява, а този на възрастните се увеличава.</w:t>
      </w:r>
    </w:p>
    <w:p>
      <w:pPr>
        <w:pStyle w:val="NormalText"/>
        <w:rPr/>
      </w:pPr>
      <w:r>
        <w:rPr/>
        <w:t>Нека накратко очертаем тенденциите за изменение и съвременно състояние на демографските структури в България, като сравним резултатите от двете преброявания –1992 г. и 2001 г. (вж. табл. №№ 2,3,4 в приложението).</w:t>
      </w:r>
    </w:p>
    <w:p>
      <w:pPr>
        <w:pStyle w:val="NormalText"/>
        <w:rPr/>
      </w:pPr>
      <w:r>
        <w:rPr/>
        <w:t xml:space="preserve">Състоянието на демографска криза, в което България се намира понастоящем, има както количествени, така и качествени измерения. Процесът на </w:t>
      </w:r>
      <w:r>
        <w:rPr>
          <w:b/>
        </w:rPr>
        <w:t>депопулация,</w:t>
      </w:r>
      <w:r>
        <w:rPr/>
        <w:t xml:space="preserve"> започнал по-осезаемо през 90-те години, се съпровожда с негативни изменения в структурните характеристики на населението (половата и възрастовата структура на населението, както и структурата на семейното положение).</w:t>
      </w:r>
    </w:p>
    <w:p>
      <w:pPr>
        <w:pStyle w:val="NormalText"/>
        <w:rPr/>
      </w:pPr>
      <w:r>
        <w:rPr/>
        <w:t>Резултатите от преброяването показват, че след 1956 г. в България се откроява тенденция за нарастване на разликата между числеността на двата пола в полза на жените. От 15 хил. през 1956 г. тази разлика достига 146 хил. през 1992 г. и 197 хил. през 2001 г. Броят на мъжете след преброяването от 2001 г. възлиза на 3 888 хил. или те представляват 48.8% от населението на страната. Данните за жените са съответно 51.2%. Засилващата се диспропорция е резултат от по-високата смъртност при мъжете и по-голямата средна продължителност на живота при жените. Мъжете са с по-голям относителен дял както при действителните, така и потенциалните емигранти (сред желаещите да напуснат страната 57% са мъже).</w:t>
      </w:r>
    </w:p>
    <w:p>
      <w:pPr>
        <w:pStyle w:val="NormalText"/>
        <w:rPr/>
      </w:pPr>
      <w:r>
        <w:rPr/>
        <w:t>Данните от последните две преброявания показват по-голямо нарастване на разликата между броя на мъжете и жените при градското население.</w:t>
      </w:r>
    </w:p>
    <w:p>
      <w:pPr>
        <w:pStyle w:val="NormalText"/>
        <w:rPr/>
      </w:pPr>
      <w:r>
        <w:rPr/>
        <w:t xml:space="preserve">През 2001 г. общо за страната на 1000 мъже са се падали 1051 жени. В селата съотношението е 1000:1023, а в градовете – 1000:1063. По-изразителната разлика при градското население се дължи на динамиката на демографските процеси, включително и на емиграцията. </w:t>
      </w:r>
    </w:p>
    <w:p>
      <w:pPr>
        <w:pStyle w:val="NormalText"/>
        <w:rPr>
          <w:b/>
          <w:b/>
        </w:rPr>
      </w:pPr>
      <w:r>
        <w:rPr>
          <w:b/>
        </w:rPr>
        <w:t>По отношение на възрастовата структура на населението в България се откроява тенденцията за неговото непрекъснато застаряване.</w:t>
      </w:r>
    </w:p>
    <w:p>
      <w:pPr>
        <w:pStyle w:val="NormalText"/>
        <w:rPr/>
      </w:pPr>
      <w:r>
        <w:rPr/>
        <w:t>Относителният дял на лицата под 20 години намалява от 37.8% през 1946 г. на 28.3 % през 1992 г. и 21.8% през 2001 г. За същия период относителният дял на лицата на 60 и повече години се е увеличил над 2 пъти – от 9.6% през 1946 г. на 22.5% през 2001 г. Това означава, че застаряването на населението протича както откъм върха, така и откъм основата на възрастовата пирамида. Показателен е фактът, че сега всеки четвърти – пети жител на страната е на възраст на 60 и повече години. Израз на демографското застаряване е повишаването на средната възраст на населението, която през 2001 г. е 40 години.</w:t>
      </w:r>
    </w:p>
    <w:p>
      <w:pPr>
        <w:pStyle w:val="NormalText"/>
        <w:rPr/>
      </w:pPr>
      <w:r>
        <w:rPr/>
        <w:t xml:space="preserve">Застаряването на населението намери отражение и върху трудовия потенциал на България. Показателни са промените в разпределението на населението по </w:t>
      </w:r>
      <w:r>
        <w:rPr>
          <w:b/>
          <w:i/>
        </w:rPr>
        <w:t>възрастови</w:t>
      </w:r>
      <w:r>
        <w:rPr>
          <w:i/>
        </w:rPr>
        <w:t xml:space="preserve"> </w:t>
      </w:r>
      <w:r>
        <w:rPr>
          <w:b/>
          <w:i/>
        </w:rPr>
        <w:t>категории,</w:t>
      </w:r>
      <w:r>
        <w:rPr>
          <w:i/>
        </w:rPr>
        <w:t xml:space="preserve"> </w:t>
      </w:r>
      <w:r>
        <w:rPr/>
        <w:t>свързани с неговата трудова активност:</w:t>
      </w:r>
    </w:p>
    <w:p>
      <w:pPr>
        <w:pStyle w:val="TableHeading2"/>
        <w:rPr/>
      </w:pPr>
      <w:r>
        <w:rPr/>
        <w:t>Население на България по възрастови групи (категории)</w:t>
      </w:r>
    </w:p>
    <w:tbl>
      <w:tblPr>
        <w:tblW w:w="8878" w:type="dxa"/>
        <w:jc w:val="center"/>
        <w:tblInd w:w="0" w:type="dxa"/>
        <w:tblCellMar>
          <w:top w:w="0" w:type="dxa"/>
          <w:left w:w="70" w:type="dxa"/>
          <w:bottom w:w="0" w:type="dxa"/>
          <w:right w:w="70" w:type="dxa"/>
        </w:tblCellMar>
      </w:tblPr>
      <w:tblGrid>
        <w:gridCol w:w="3208"/>
        <w:gridCol w:w="1921"/>
        <w:gridCol w:w="909"/>
        <w:gridCol w:w="1921"/>
        <w:gridCol w:w="919"/>
      </w:tblGrid>
      <w:tr>
        <w:trPr/>
        <w:tc>
          <w:tcPr>
            <w:tcW w:w="3208" w:type="dxa"/>
            <w:tcBorders>
              <w:top w:val="single" w:sz="4" w:space="0" w:color="000000"/>
              <w:left w:val="single" w:sz="4" w:space="0" w:color="000000"/>
              <w:bottom w:val="single" w:sz="4" w:space="0" w:color="000000"/>
            </w:tcBorders>
          </w:tcPr>
          <w:p>
            <w:pPr>
              <w:pStyle w:val="Normal"/>
              <w:spacing w:lineRule="auto" w:line="240"/>
              <w:jc w:val="center"/>
              <w:rPr>
                <w:b/>
                <w:b/>
                <w:sz w:val="26"/>
              </w:rPr>
            </w:pPr>
            <w:r>
              <w:rPr>
                <w:b/>
                <w:sz w:val="26"/>
              </w:rPr>
              <w:t>Възрастови групи</w:t>
            </w:r>
          </w:p>
        </w:tc>
        <w:tc>
          <w:tcPr>
            <w:tcW w:w="1921" w:type="dxa"/>
            <w:tcBorders>
              <w:top w:val="single" w:sz="4" w:space="0" w:color="000000"/>
              <w:left w:val="single" w:sz="4" w:space="0" w:color="000000"/>
              <w:bottom w:val="single" w:sz="4" w:space="0" w:color="000000"/>
            </w:tcBorders>
          </w:tcPr>
          <w:p>
            <w:pPr>
              <w:pStyle w:val="Normal"/>
              <w:spacing w:lineRule="auto" w:line="240"/>
              <w:jc w:val="center"/>
              <w:rPr>
                <w:b/>
                <w:b/>
                <w:sz w:val="26"/>
              </w:rPr>
            </w:pPr>
            <w:r>
              <w:rPr>
                <w:b/>
                <w:sz w:val="26"/>
              </w:rPr>
              <w:t>Преброяване</w:t>
            </w:r>
          </w:p>
          <w:p>
            <w:pPr>
              <w:pStyle w:val="Normal"/>
              <w:spacing w:lineRule="auto" w:line="240"/>
              <w:jc w:val="center"/>
              <w:rPr>
                <w:b/>
                <w:b/>
                <w:sz w:val="26"/>
              </w:rPr>
            </w:pPr>
            <w:r>
              <w:rPr>
                <w:b/>
                <w:sz w:val="26"/>
              </w:rPr>
              <w:t>1992 г. – хил. д.</w:t>
            </w:r>
          </w:p>
        </w:tc>
        <w:tc>
          <w:tcPr>
            <w:tcW w:w="909" w:type="dxa"/>
            <w:tcBorders>
              <w:top w:val="single" w:sz="4" w:space="0" w:color="000000"/>
              <w:left w:val="single" w:sz="4" w:space="0" w:color="000000"/>
              <w:bottom w:val="single" w:sz="4" w:space="0" w:color="000000"/>
            </w:tcBorders>
          </w:tcPr>
          <w:p>
            <w:pPr>
              <w:pStyle w:val="Normal"/>
              <w:spacing w:lineRule="auto" w:line="240"/>
              <w:jc w:val="center"/>
              <w:rPr>
                <w:b/>
                <w:b/>
                <w:sz w:val="26"/>
              </w:rPr>
            </w:pPr>
            <w:r>
              <w:rPr>
                <w:b/>
                <w:sz w:val="26"/>
              </w:rPr>
              <w:t>1992 г.</w:t>
            </w:r>
          </w:p>
          <w:p>
            <w:pPr>
              <w:pStyle w:val="Normal"/>
              <w:spacing w:lineRule="auto" w:line="240"/>
              <w:jc w:val="center"/>
              <w:rPr>
                <w:b/>
                <w:b/>
                <w:sz w:val="26"/>
              </w:rPr>
            </w:pPr>
            <w:r>
              <w:rPr>
                <w:b/>
                <w:sz w:val="26"/>
              </w:rPr>
              <w:t>%</w:t>
            </w:r>
          </w:p>
        </w:tc>
        <w:tc>
          <w:tcPr>
            <w:tcW w:w="1921" w:type="dxa"/>
            <w:tcBorders>
              <w:top w:val="single" w:sz="4" w:space="0" w:color="000000"/>
              <w:left w:val="single" w:sz="4" w:space="0" w:color="000000"/>
              <w:bottom w:val="single" w:sz="4" w:space="0" w:color="000000"/>
            </w:tcBorders>
          </w:tcPr>
          <w:p>
            <w:pPr>
              <w:pStyle w:val="Normal"/>
              <w:spacing w:lineRule="auto" w:line="240"/>
              <w:jc w:val="center"/>
              <w:rPr>
                <w:b/>
                <w:b/>
                <w:sz w:val="26"/>
              </w:rPr>
            </w:pPr>
            <w:r>
              <w:rPr>
                <w:b/>
                <w:sz w:val="26"/>
              </w:rPr>
              <w:t>Преброяване</w:t>
            </w:r>
          </w:p>
          <w:p>
            <w:pPr>
              <w:pStyle w:val="Normal"/>
              <w:spacing w:lineRule="auto" w:line="240"/>
              <w:jc w:val="center"/>
              <w:rPr>
                <w:b/>
                <w:b/>
                <w:sz w:val="26"/>
              </w:rPr>
            </w:pPr>
            <w:r>
              <w:rPr>
                <w:b/>
                <w:sz w:val="26"/>
              </w:rPr>
              <w:t>2001 г. – хил. д.</w:t>
            </w:r>
          </w:p>
        </w:tc>
        <w:tc>
          <w:tcPr>
            <w:tcW w:w="91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center"/>
              <w:rPr>
                <w:b/>
                <w:b/>
                <w:sz w:val="26"/>
              </w:rPr>
            </w:pPr>
            <w:r>
              <w:rPr>
                <w:b/>
                <w:sz w:val="26"/>
              </w:rPr>
              <w:t>2001 г.</w:t>
            </w:r>
          </w:p>
          <w:p>
            <w:pPr>
              <w:pStyle w:val="Normal"/>
              <w:spacing w:lineRule="auto" w:line="240"/>
              <w:jc w:val="center"/>
              <w:rPr>
                <w:b/>
                <w:b/>
                <w:sz w:val="26"/>
              </w:rPr>
            </w:pPr>
            <w:r>
              <w:rPr>
                <w:b/>
                <w:sz w:val="26"/>
              </w:rPr>
              <w:t>%</w:t>
            </w:r>
          </w:p>
        </w:tc>
      </w:tr>
      <w:tr>
        <w:trPr/>
        <w:tc>
          <w:tcPr>
            <w:tcW w:w="3208" w:type="dxa"/>
            <w:tcBorders>
              <w:top w:val="single" w:sz="4" w:space="0" w:color="000000"/>
              <w:left w:val="single" w:sz="4" w:space="0" w:color="000000"/>
              <w:bottom w:val="single" w:sz="4" w:space="0" w:color="000000"/>
            </w:tcBorders>
          </w:tcPr>
          <w:p>
            <w:pPr>
              <w:pStyle w:val="Normal"/>
              <w:spacing w:lineRule="auto" w:line="240"/>
              <w:rPr>
                <w:sz w:val="26"/>
              </w:rPr>
            </w:pPr>
            <w:r>
              <w:rPr>
                <w:sz w:val="26"/>
              </w:rPr>
              <w:t>Под трудоспособна възраст</w:t>
            </w:r>
          </w:p>
        </w:tc>
        <w:tc>
          <w:tcPr>
            <w:tcW w:w="1921" w:type="dxa"/>
            <w:tcBorders>
              <w:top w:val="single" w:sz="4" w:space="0" w:color="000000"/>
              <w:left w:val="single" w:sz="4" w:space="0" w:color="000000"/>
              <w:bottom w:val="single" w:sz="4" w:space="0" w:color="000000"/>
            </w:tcBorders>
          </w:tcPr>
          <w:p>
            <w:pPr>
              <w:pStyle w:val="Normal"/>
              <w:spacing w:lineRule="auto" w:line="240"/>
              <w:jc w:val="center"/>
              <w:rPr>
                <w:sz w:val="26"/>
              </w:rPr>
            </w:pPr>
            <w:r>
              <w:rPr>
                <w:sz w:val="26"/>
              </w:rPr>
              <w:t>1 736</w:t>
            </w:r>
          </w:p>
        </w:tc>
        <w:tc>
          <w:tcPr>
            <w:tcW w:w="909" w:type="dxa"/>
            <w:tcBorders>
              <w:top w:val="single" w:sz="4" w:space="0" w:color="000000"/>
              <w:left w:val="single" w:sz="4" w:space="0" w:color="000000"/>
              <w:bottom w:val="single" w:sz="4" w:space="0" w:color="000000"/>
            </w:tcBorders>
          </w:tcPr>
          <w:p>
            <w:pPr>
              <w:pStyle w:val="Normal"/>
              <w:spacing w:lineRule="auto" w:line="240"/>
              <w:jc w:val="center"/>
              <w:rPr>
                <w:sz w:val="26"/>
              </w:rPr>
            </w:pPr>
            <w:r>
              <w:rPr>
                <w:sz w:val="26"/>
              </w:rPr>
              <w:t>20.5</w:t>
            </w:r>
          </w:p>
        </w:tc>
        <w:tc>
          <w:tcPr>
            <w:tcW w:w="1921" w:type="dxa"/>
            <w:tcBorders>
              <w:top w:val="single" w:sz="4" w:space="0" w:color="000000"/>
              <w:left w:val="single" w:sz="4" w:space="0" w:color="000000"/>
              <w:bottom w:val="single" w:sz="4" w:space="0" w:color="000000"/>
            </w:tcBorders>
          </w:tcPr>
          <w:p>
            <w:pPr>
              <w:pStyle w:val="Normal"/>
              <w:spacing w:lineRule="auto" w:line="240"/>
              <w:jc w:val="center"/>
              <w:rPr>
                <w:sz w:val="26"/>
              </w:rPr>
            </w:pPr>
            <w:r>
              <w:rPr>
                <w:sz w:val="26"/>
              </w:rPr>
              <w:t>1 036</w:t>
            </w:r>
          </w:p>
        </w:tc>
        <w:tc>
          <w:tcPr>
            <w:tcW w:w="91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center"/>
              <w:rPr>
                <w:sz w:val="26"/>
              </w:rPr>
            </w:pPr>
            <w:r>
              <w:rPr>
                <w:sz w:val="26"/>
              </w:rPr>
              <w:t>16.4</w:t>
            </w:r>
          </w:p>
        </w:tc>
      </w:tr>
      <w:tr>
        <w:trPr/>
        <w:tc>
          <w:tcPr>
            <w:tcW w:w="3208" w:type="dxa"/>
            <w:tcBorders>
              <w:top w:val="single" w:sz="4" w:space="0" w:color="000000"/>
              <w:left w:val="single" w:sz="4" w:space="0" w:color="000000"/>
              <w:bottom w:val="single" w:sz="4" w:space="0" w:color="000000"/>
            </w:tcBorders>
          </w:tcPr>
          <w:p>
            <w:pPr>
              <w:pStyle w:val="Normal"/>
              <w:spacing w:lineRule="auto" w:line="240"/>
              <w:rPr>
                <w:sz w:val="26"/>
              </w:rPr>
            </w:pPr>
            <w:r>
              <w:rPr>
                <w:sz w:val="26"/>
              </w:rPr>
              <w:t>В трудоспособна възраст</w:t>
            </w:r>
          </w:p>
        </w:tc>
        <w:tc>
          <w:tcPr>
            <w:tcW w:w="1921" w:type="dxa"/>
            <w:tcBorders>
              <w:top w:val="single" w:sz="4" w:space="0" w:color="000000"/>
              <w:left w:val="single" w:sz="4" w:space="0" w:color="000000"/>
              <w:bottom w:val="single" w:sz="4" w:space="0" w:color="000000"/>
            </w:tcBorders>
          </w:tcPr>
          <w:p>
            <w:pPr>
              <w:pStyle w:val="Normal"/>
              <w:spacing w:lineRule="auto" w:line="240"/>
              <w:jc w:val="center"/>
              <w:rPr>
                <w:sz w:val="26"/>
              </w:rPr>
            </w:pPr>
            <w:r>
              <w:rPr>
                <w:sz w:val="26"/>
              </w:rPr>
              <w:t>4 734</w:t>
            </w:r>
          </w:p>
        </w:tc>
        <w:tc>
          <w:tcPr>
            <w:tcW w:w="909" w:type="dxa"/>
            <w:tcBorders>
              <w:top w:val="single" w:sz="4" w:space="0" w:color="000000"/>
              <w:left w:val="single" w:sz="4" w:space="0" w:color="000000"/>
              <w:bottom w:val="single" w:sz="4" w:space="0" w:color="000000"/>
            </w:tcBorders>
          </w:tcPr>
          <w:p>
            <w:pPr>
              <w:pStyle w:val="Normal"/>
              <w:spacing w:lineRule="auto" w:line="240"/>
              <w:jc w:val="center"/>
              <w:rPr>
                <w:sz w:val="26"/>
              </w:rPr>
            </w:pPr>
            <w:r>
              <w:rPr>
                <w:sz w:val="26"/>
              </w:rPr>
              <w:t>55.8</w:t>
            </w:r>
          </w:p>
        </w:tc>
        <w:tc>
          <w:tcPr>
            <w:tcW w:w="1921" w:type="dxa"/>
            <w:tcBorders>
              <w:top w:val="single" w:sz="4" w:space="0" w:color="000000"/>
              <w:left w:val="single" w:sz="4" w:space="0" w:color="000000"/>
              <w:bottom w:val="single" w:sz="4" w:space="0" w:color="000000"/>
            </w:tcBorders>
          </w:tcPr>
          <w:p>
            <w:pPr>
              <w:pStyle w:val="Normal"/>
              <w:spacing w:lineRule="auto" w:line="240"/>
              <w:jc w:val="center"/>
              <w:rPr>
                <w:sz w:val="26"/>
              </w:rPr>
            </w:pPr>
            <w:r>
              <w:rPr>
                <w:sz w:val="26"/>
              </w:rPr>
              <w:t>4 614</w:t>
            </w:r>
          </w:p>
        </w:tc>
        <w:tc>
          <w:tcPr>
            <w:tcW w:w="91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center"/>
              <w:rPr>
                <w:sz w:val="26"/>
              </w:rPr>
            </w:pPr>
            <w:r>
              <w:rPr>
                <w:sz w:val="26"/>
              </w:rPr>
              <w:t>57.8</w:t>
            </w:r>
          </w:p>
        </w:tc>
      </w:tr>
      <w:tr>
        <w:trPr/>
        <w:tc>
          <w:tcPr>
            <w:tcW w:w="3208" w:type="dxa"/>
            <w:tcBorders>
              <w:top w:val="single" w:sz="4" w:space="0" w:color="000000"/>
              <w:left w:val="single" w:sz="4" w:space="0" w:color="000000"/>
              <w:bottom w:val="single" w:sz="4" w:space="0" w:color="000000"/>
            </w:tcBorders>
          </w:tcPr>
          <w:p>
            <w:pPr>
              <w:pStyle w:val="Normal"/>
              <w:spacing w:lineRule="auto" w:line="240"/>
              <w:rPr>
                <w:sz w:val="26"/>
              </w:rPr>
            </w:pPr>
            <w:r>
              <w:rPr>
                <w:sz w:val="26"/>
              </w:rPr>
              <w:t>Над трудоспособна възраст</w:t>
            </w:r>
          </w:p>
        </w:tc>
        <w:tc>
          <w:tcPr>
            <w:tcW w:w="1921" w:type="dxa"/>
            <w:tcBorders>
              <w:top w:val="single" w:sz="4" w:space="0" w:color="000000"/>
              <w:left w:val="single" w:sz="4" w:space="0" w:color="000000"/>
              <w:bottom w:val="single" w:sz="4" w:space="0" w:color="000000"/>
            </w:tcBorders>
          </w:tcPr>
          <w:p>
            <w:pPr>
              <w:pStyle w:val="Normal"/>
              <w:spacing w:lineRule="auto" w:line="240"/>
              <w:jc w:val="center"/>
              <w:rPr>
                <w:sz w:val="26"/>
              </w:rPr>
            </w:pPr>
            <w:r>
              <w:rPr>
                <w:sz w:val="26"/>
              </w:rPr>
              <w:t>2 017</w:t>
            </w:r>
          </w:p>
        </w:tc>
        <w:tc>
          <w:tcPr>
            <w:tcW w:w="909" w:type="dxa"/>
            <w:tcBorders>
              <w:top w:val="single" w:sz="4" w:space="0" w:color="000000"/>
              <w:left w:val="single" w:sz="4" w:space="0" w:color="000000"/>
              <w:bottom w:val="single" w:sz="4" w:space="0" w:color="000000"/>
            </w:tcBorders>
          </w:tcPr>
          <w:p>
            <w:pPr>
              <w:pStyle w:val="Normal"/>
              <w:spacing w:lineRule="auto" w:line="240"/>
              <w:jc w:val="center"/>
              <w:rPr>
                <w:sz w:val="26"/>
              </w:rPr>
            </w:pPr>
            <w:r>
              <w:rPr>
                <w:sz w:val="26"/>
              </w:rPr>
              <w:t>23.7</w:t>
            </w:r>
          </w:p>
        </w:tc>
        <w:tc>
          <w:tcPr>
            <w:tcW w:w="1921" w:type="dxa"/>
            <w:tcBorders>
              <w:top w:val="single" w:sz="4" w:space="0" w:color="000000"/>
              <w:left w:val="single" w:sz="4" w:space="0" w:color="000000"/>
              <w:bottom w:val="single" w:sz="4" w:space="0" w:color="000000"/>
            </w:tcBorders>
          </w:tcPr>
          <w:p>
            <w:pPr>
              <w:pStyle w:val="Normal"/>
              <w:spacing w:lineRule="auto" w:line="240"/>
              <w:jc w:val="center"/>
              <w:rPr>
                <w:sz w:val="26"/>
              </w:rPr>
            </w:pPr>
            <w:r>
              <w:rPr>
                <w:sz w:val="26"/>
              </w:rPr>
              <w:t>2 051</w:t>
            </w:r>
          </w:p>
        </w:tc>
        <w:tc>
          <w:tcPr>
            <w:tcW w:w="919" w:type="dxa"/>
            <w:tcBorders>
              <w:top w:val="single" w:sz="4" w:space="0" w:color="000000"/>
              <w:left w:val="single" w:sz="4" w:space="0" w:color="000000"/>
              <w:bottom w:val="single" w:sz="4" w:space="0" w:color="000000"/>
              <w:right w:val="single" w:sz="4" w:space="0" w:color="000000"/>
            </w:tcBorders>
          </w:tcPr>
          <w:p>
            <w:pPr>
              <w:pStyle w:val="Normal"/>
              <w:spacing w:lineRule="auto" w:line="240"/>
              <w:jc w:val="center"/>
              <w:rPr>
                <w:sz w:val="26"/>
              </w:rPr>
            </w:pPr>
            <w:r>
              <w:rPr>
                <w:sz w:val="26"/>
              </w:rPr>
              <w:t>25.8</w:t>
            </w:r>
          </w:p>
        </w:tc>
      </w:tr>
    </w:tbl>
    <w:p>
      <w:pPr>
        <w:pStyle w:val="TableHeading1"/>
        <w:rPr/>
      </w:pPr>
      <w:r>
        <w:rPr/>
        <w:t>Таблица № 2</w:t>
      </w:r>
    </w:p>
    <w:p>
      <w:pPr>
        <w:pStyle w:val="NormalText"/>
        <w:rPr/>
      </w:pPr>
      <w:r>
        <w:rPr/>
        <w:t xml:space="preserve">Населението под трудоспособна и трудоспособна възраст у нас намалява. Особено голямо (почти с една четвърт) е намаляването на лицата под трудоспособна възраст през периода 1992 – 2001 г. Въпреки, че лицата в трудоспособна възраст също намаляват, като абсолютен брой техният относителен дял показва увеличаване с два пункта през 2001 г. Това е резултат от различията в темповете на намаление на отделните възрастови групи. </w:t>
      </w:r>
      <w:r>
        <w:rPr>
          <w:b/>
        </w:rPr>
        <w:t xml:space="preserve"> Увеличаването като брой и относителен дял има единствено при лицата над трудоспособна възраст. </w:t>
      </w:r>
      <w:r>
        <w:rPr/>
        <w:t>То е много по-силно изразено в селата, отколкото в градовете. Относителният дял на лицата над трудоспособна възраст при селското население сега е 1.7 пъти по-голям в сравнение с градското. При това положение недостигът на трудоспособно население се превръща в един от основните проблеми на българското село.</w:t>
      </w:r>
    </w:p>
    <w:p>
      <w:pPr>
        <w:pStyle w:val="NormalText"/>
        <w:rPr/>
      </w:pPr>
      <w:r>
        <w:rPr>
          <w:b/>
        </w:rPr>
        <w:t>По отношение на структурата на населението по семейно положение</w:t>
      </w:r>
      <w:r>
        <w:rPr/>
        <w:t xml:space="preserve"> съпоставянето на резултатите от двете преброявания показва намаляване броя на женените (омъжените) и неженените (неомъжените). Значително по-голямо е при женените (омъжените) – с 606 504 души. Техният относителен дял също намалява, като през 2001 г. е около половината от общия брой на населението.</w:t>
      </w:r>
    </w:p>
    <w:p>
      <w:pPr>
        <w:pStyle w:val="NormalText"/>
        <w:rPr/>
      </w:pPr>
      <w:r>
        <w:rPr/>
        <w:t>Измененията в семейната структура на населението през последните години са резултат от промените в социално-икономическото и демографското развитие на страната. Икономическите трудности, съпътстващи прехода към пазарна икономика, се отразиха неблагоприятно както върху репродуктивното поведение на населението, така и на неговото отношение към семейно-брачната институция.</w:t>
      </w:r>
    </w:p>
    <w:p>
      <w:pPr>
        <w:pStyle w:val="NormalText"/>
        <w:rPr/>
      </w:pPr>
      <w:r>
        <w:rPr/>
        <w:t xml:space="preserve">Като неблагоприятна за общото демографско и социално развитие на страната може да се определи и тенденцията към увеличаване на броя и относителния дял на овдовелите. </w:t>
      </w:r>
      <w:r>
        <w:rPr>
          <w:b/>
        </w:rPr>
        <w:t xml:space="preserve">Това увеличаване </w:t>
      </w:r>
      <w:r>
        <w:rPr/>
        <w:t xml:space="preserve"> води до намаляване на категорията на семейните, а </w:t>
      </w:r>
      <w:r>
        <w:rPr>
          <w:b/>
        </w:rPr>
        <w:t>в социален план – до необходимост от специализирани грижи за самотните възрастни хора.</w:t>
      </w:r>
    </w:p>
    <w:p>
      <w:pPr>
        <w:pStyle w:val="NormalText"/>
        <w:rPr/>
      </w:pPr>
      <w:r>
        <w:rPr/>
        <w:t>Накрая нека съпоставим данните за раждаемост и смъртност и в тази връзка естествения прираст на населението в България по години:</w:t>
      </w:r>
    </w:p>
    <w:p>
      <w:pPr>
        <w:pStyle w:val="TableHeading2"/>
        <w:spacing w:lineRule="auto" w:line="240"/>
        <w:rPr/>
      </w:pPr>
      <w:r>
        <w:rPr/>
        <w:t xml:space="preserve">Раждаемост, смъртност и естествен прираст на населението </w:t>
        <w:br/>
        <w:t>в България по години</w:t>
      </w:r>
    </w:p>
    <w:tbl>
      <w:tblPr>
        <w:tblW w:w="8881" w:type="dxa"/>
        <w:jc w:val="left"/>
        <w:tblInd w:w="-5" w:type="dxa"/>
        <w:tblCellMar>
          <w:top w:w="0" w:type="dxa"/>
          <w:left w:w="70" w:type="dxa"/>
          <w:bottom w:w="0" w:type="dxa"/>
          <w:right w:w="70" w:type="dxa"/>
        </w:tblCellMar>
      </w:tblPr>
      <w:tblGrid>
        <w:gridCol w:w="1668"/>
        <w:gridCol w:w="275"/>
        <w:gridCol w:w="2035"/>
        <w:gridCol w:w="1881"/>
        <w:gridCol w:w="2290"/>
        <w:gridCol w:w="732"/>
      </w:tblGrid>
      <w:tr>
        <w:trPr>
          <w:trHeight w:val="255" w:hRule="atLeast"/>
        </w:trPr>
        <w:tc>
          <w:tcPr>
            <w:tcW w:w="1943" w:type="dxa"/>
            <w:gridSpan w:val="2"/>
            <w:tcBorders>
              <w:top w:val="single" w:sz="4" w:space="0" w:color="000000"/>
              <w:left w:val="single" w:sz="4" w:space="0" w:color="000000"/>
            </w:tcBorders>
            <w:vAlign w:val="bottom"/>
          </w:tcPr>
          <w:p>
            <w:pPr>
              <w:pStyle w:val="NormalText"/>
              <w:ind w:hanging="0"/>
              <w:jc w:val="center"/>
              <w:rPr>
                <w:b/>
                <w:b/>
                <w:sz w:val="26"/>
              </w:rPr>
            </w:pPr>
            <w:r>
              <w:rPr>
                <w:b/>
                <w:sz w:val="26"/>
              </w:rPr>
              <w:t>Показатели</w:t>
            </w:r>
          </w:p>
        </w:tc>
        <w:tc>
          <w:tcPr>
            <w:tcW w:w="6938" w:type="dxa"/>
            <w:gridSpan w:val="4"/>
            <w:tcBorders>
              <w:top w:val="single" w:sz="4" w:space="0" w:color="000000"/>
              <w:right w:val="single" w:sz="4" w:space="0" w:color="000000"/>
            </w:tcBorders>
            <w:vAlign w:val="bottom"/>
          </w:tcPr>
          <w:p>
            <w:pPr>
              <w:pStyle w:val="NormalText"/>
              <w:ind w:hanging="0"/>
              <w:jc w:val="center"/>
              <w:rPr>
                <w:b/>
                <w:b/>
                <w:sz w:val="26"/>
              </w:rPr>
            </w:pPr>
            <w:r>
              <w:rPr>
                <w:b/>
                <w:sz w:val="26"/>
              </w:rPr>
              <w:t>На 1000 човека от населението</w:t>
            </w:r>
          </w:p>
        </w:tc>
      </w:tr>
      <w:tr>
        <w:trPr>
          <w:trHeight w:val="255" w:hRule="atLeast"/>
        </w:trPr>
        <w:tc>
          <w:tcPr>
            <w:tcW w:w="1668" w:type="dxa"/>
            <w:tcBorders>
              <w:left w:val="single" w:sz="4" w:space="0" w:color="000000"/>
            </w:tcBorders>
            <w:vAlign w:val="bottom"/>
          </w:tcPr>
          <w:p>
            <w:pPr>
              <w:pStyle w:val="NormalText"/>
              <w:ind w:hanging="0"/>
              <w:jc w:val="center"/>
              <w:rPr>
                <w:b/>
                <w:b/>
                <w:sz w:val="26"/>
                <w:lang w:val="en-US"/>
              </w:rPr>
            </w:pPr>
            <w:r>
              <w:rPr>
                <w:b/>
                <w:sz w:val="26"/>
              </w:rPr>
              <w:t>Години</w:t>
            </w:r>
          </w:p>
        </w:tc>
        <w:tc>
          <w:tcPr>
            <w:tcW w:w="275" w:type="dxa"/>
            <w:tcBorders/>
            <w:vAlign w:val="bottom"/>
          </w:tcPr>
          <w:p>
            <w:pPr>
              <w:pStyle w:val="NormalText"/>
              <w:snapToGrid w:val="false"/>
              <w:ind w:hanging="0"/>
              <w:jc w:val="center"/>
              <w:rPr>
                <w:b/>
                <w:b/>
                <w:sz w:val="26"/>
                <w:lang w:val="en-US"/>
              </w:rPr>
            </w:pPr>
            <w:r>
              <w:rPr>
                <w:b/>
                <w:sz w:val="26"/>
                <w:lang w:val="en-US"/>
              </w:rPr>
            </w:r>
          </w:p>
        </w:tc>
        <w:tc>
          <w:tcPr>
            <w:tcW w:w="2035" w:type="dxa"/>
            <w:tcBorders/>
            <w:vAlign w:val="bottom"/>
          </w:tcPr>
          <w:p>
            <w:pPr>
              <w:pStyle w:val="NormalText"/>
              <w:ind w:hanging="0"/>
              <w:jc w:val="center"/>
              <w:rPr/>
            </w:pPr>
            <w:r>
              <w:rPr>
                <w:b/>
                <w:sz w:val="26"/>
              </w:rPr>
              <w:t>Раждаемост</w:t>
            </w:r>
          </w:p>
        </w:tc>
        <w:tc>
          <w:tcPr>
            <w:tcW w:w="1881" w:type="dxa"/>
            <w:tcBorders/>
            <w:vAlign w:val="bottom"/>
          </w:tcPr>
          <w:p>
            <w:pPr>
              <w:pStyle w:val="NormalText"/>
              <w:ind w:hanging="0"/>
              <w:jc w:val="center"/>
              <w:rPr/>
            </w:pPr>
            <w:r>
              <w:rPr>
                <w:b/>
                <w:sz w:val="26"/>
              </w:rPr>
              <w:t>Смъртност</w:t>
            </w:r>
          </w:p>
        </w:tc>
        <w:tc>
          <w:tcPr>
            <w:tcW w:w="3022" w:type="dxa"/>
            <w:gridSpan w:val="2"/>
            <w:tcBorders>
              <w:right w:val="single" w:sz="4" w:space="0" w:color="000000"/>
            </w:tcBorders>
            <w:vAlign w:val="bottom"/>
          </w:tcPr>
          <w:p>
            <w:pPr>
              <w:pStyle w:val="NormalText"/>
              <w:ind w:hanging="0"/>
              <w:jc w:val="center"/>
              <w:rPr>
                <w:b/>
                <w:b/>
                <w:sz w:val="26"/>
              </w:rPr>
            </w:pPr>
            <w:r>
              <w:rPr>
                <w:b/>
                <w:sz w:val="26"/>
              </w:rPr>
              <w:t>Естествен прираст</w:t>
            </w:r>
          </w:p>
        </w:tc>
      </w:tr>
      <w:tr>
        <w:trPr>
          <w:trHeight w:val="255" w:hRule="atLeast"/>
        </w:trPr>
        <w:tc>
          <w:tcPr>
            <w:tcW w:w="1668" w:type="dxa"/>
            <w:tcBorders>
              <w:left w:val="single" w:sz="4" w:space="0" w:color="000000"/>
            </w:tcBorders>
            <w:vAlign w:val="bottom"/>
          </w:tcPr>
          <w:p>
            <w:pPr>
              <w:pStyle w:val="NormalText"/>
              <w:ind w:hanging="0"/>
              <w:jc w:val="center"/>
              <w:rPr>
                <w:sz w:val="26"/>
              </w:rPr>
            </w:pPr>
            <w:r>
              <w:rPr>
                <w:sz w:val="26"/>
              </w:rPr>
              <w:t>1990</w:t>
            </w:r>
          </w:p>
        </w:tc>
        <w:tc>
          <w:tcPr>
            <w:tcW w:w="275" w:type="dxa"/>
            <w:tcBorders/>
            <w:vAlign w:val="bottom"/>
          </w:tcPr>
          <w:p>
            <w:pPr>
              <w:pStyle w:val="NormalText"/>
              <w:snapToGrid w:val="false"/>
              <w:ind w:hanging="0"/>
              <w:jc w:val="center"/>
              <w:rPr>
                <w:sz w:val="26"/>
              </w:rPr>
            </w:pPr>
            <w:r>
              <w:rPr>
                <w:sz w:val="26"/>
              </w:rPr>
            </w:r>
          </w:p>
        </w:tc>
        <w:tc>
          <w:tcPr>
            <w:tcW w:w="2035" w:type="dxa"/>
            <w:tcBorders/>
            <w:vAlign w:val="bottom"/>
          </w:tcPr>
          <w:p>
            <w:pPr>
              <w:pStyle w:val="NormalText"/>
              <w:ind w:hanging="0"/>
              <w:jc w:val="center"/>
              <w:rPr>
                <w:sz w:val="26"/>
              </w:rPr>
            </w:pPr>
            <w:r>
              <w:rPr>
                <w:sz w:val="26"/>
              </w:rPr>
              <w:t>12,1</w:t>
            </w:r>
          </w:p>
        </w:tc>
        <w:tc>
          <w:tcPr>
            <w:tcW w:w="1881" w:type="dxa"/>
            <w:tcBorders/>
            <w:vAlign w:val="bottom"/>
          </w:tcPr>
          <w:p>
            <w:pPr>
              <w:pStyle w:val="NormalText"/>
              <w:ind w:hanging="0"/>
              <w:jc w:val="center"/>
              <w:rPr>
                <w:sz w:val="26"/>
              </w:rPr>
            </w:pPr>
            <w:r>
              <w:rPr>
                <w:sz w:val="26"/>
              </w:rPr>
              <w:t>12,5</w:t>
            </w:r>
          </w:p>
        </w:tc>
        <w:tc>
          <w:tcPr>
            <w:tcW w:w="2290" w:type="dxa"/>
            <w:tcBorders/>
            <w:vAlign w:val="bottom"/>
          </w:tcPr>
          <w:p>
            <w:pPr>
              <w:pStyle w:val="NormalText"/>
              <w:ind w:hanging="0"/>
              <w:jc w:val="center"/>
              <w:rPr>
                <w:sz w:val="26"/>
              </w:rPr>
            </w:pPr>
            <w:r>
              <w:rPr>
                <w:sz w:val="26"/>
              </w:rPr>
              <w:t>-0,4</w:t>
            </w:r>
          </w:p>
        </w:tc>
        <w:tc>
          <w:tcPr>
            <w:tcW w:w="732" w:type="dxa"/>
            <w:tcBorders>
              <w:right w:val="single" w:sz="4" w:space="0" w:color="000000"/>
            </w:tcBorders>
            <w:vAlign w:val="bottom"/>
          </w:tcPr>
          <w:p>
            <w:pPr>
              <w:pStyle w:val="NormalText"/>
              <w:snapToGrid w:val="false"/>
              <w:ind w:hanging="0"/>
              <w:jc w:val="center"/>
              <w:rPr>
                <w:sz w:val="26"/>
              </w:rPr>
            </w:pPr>
            <w:r>
              <w:rPr>
                <w:sz w:val="26"/>
              </w:rPr>
            </w:r>
          </w:p>
        </w:tc>
      </w:tr>
      <w:tr>
        <w:trPr>
          <w:trHeight w:val="255" w:hRule="atLeast"/>
        </w:trPr>
        <w:tc>
          <w:tcPr>
            <w:tcW w:w="1668" w:type="dxa"/>
            <w:tcBorders>
              <w:left w:val="single" w:sz="4" w:space="0" w:color="000000"/>
            </w:tcBorders>
            <w:vAlign w:val="bottom"/>
          </w:tcPr>
          <w:p>
            <w:pPr>
              <w:pStyle w:val="NormalText"/>
              <w:ind w:hanging="0"/>
              <w:jc w:val="center"/>
              <w:rPr>
                <w:sz w:val="26"/>
                <w:lang w:val="en-US"/>
              </w:rPr>
            </w:pPr>
            <w:r>
              <w:rPr>
                <w:sz w:val="26"/>
              </w:rPr>
              <w:t>1995</w:t>
            </w:r>
          </w:p>
        </w:tc>
        <w:tc>
          <w:tcPr>
            <w:tcW w:w="275" w:type="dxa"/>
            <w:tcBorders/>
            <w:vAlign w:val="bottom"/>
          </w:tcPr>
          <w:p>
            <w:pPr>
              <w:pStyle w:val="NormalText"/>
              <w:snapToGrid w:val="false"/>
              <w:ind w:hanging="0"/>
              <w:jc w:val="center"/>
              <w:rPr>
                <w:sz w:val="26"/>
                <w:lang w:val="en-US"/>
              </w:rPr>
            </w:pPr>
            <w:r>
              <w:rPr>
                <w:sz w:val="26"/>
                <w:lang w:val="en-US"/>
              </w:rPr>
            </w:r>
          </w:p>
        </w:tc>
        <w:tc>
          <w:tcPr>
            <w:tcW w:w="2035" w:type="dxa"/>
            <w:tcBorders/>
            <w:vAlign w:val="bottom"/>
          </w:tcPr>
          <w:p>
            <w:pPr>
              <w:pStyle w:val="NormalText"/>
              <w:ind w:hanging="0"/>
              <w:jc w:val="center"/>
              <w:rPr>
                <w:sz w:val="26"/>
              </w:rPr>
            </w:pPr>
            <w:r>
              <w:rPr>
                <w:sz w:val="26"/>
              </w:rPr>
              <w:t>8,6</w:t>
            </w:r>
          </w:p>
        </w:tc>
        <w:tc>
          <w:tcPr>
            <w:tcW w:w="1881" w:type="dxa"/>
            <w:tcBorders/>
            <w:vAlign w:val="bottom"/>
          </w:tcPr>
          <w:p>
            <w:pPr>
              <w:pStyle w:val="NormalText"/>
              <w:ind w:hanging="0"/>
              <w:jc w:val="center"/>
              <w:rPr>
                <w:sz w:val="26"/>
              </w:rPr>
            </w:pPr>
            <w:r>
              <w:rPr>
                <w:sz w:val="26"/>
              </w:rPr>
              <w:t>13,6</w:t>
            </w:r>
          </w:p>
        </w:tc>
        <w:tc>
          <w:tcPr>
            <w:tcW w:w="2290" w:type="dxa"/>
            <w:tcBorders/>
            <w:vAlign w:val="bottom"/>
          </w:tcPr>
          <w:p>
            <w:pPr>
              <w:pStyle w:val="NormalText"/>
              <w:ind w:hanging="0"/>
              <w:jc w:val="center"/>
              <w:rPr>
                <w:sz w:val="26"/>
              </w:rPr>
            </w:pPr>
            <w:r>
              <w:rPr>
                <w:sz w:val="26"/>
              </w:rPr>
              <w:t>-5,0</w:t>
            </w:r>
          </w:p>
        </w:tc>
        <w:tc>
          <w:tcPr>
            <w:tcW w:w="732" w:type="dxa"/>
            <w:tcBorders>
              <w:right w:val="single" w:sz="4" w:space="0" w:color="000000"/>
            </w:tcBorders>
            <w:vAlign w:val="bottom"/>
          </w:tcPr>
          <w:p>
            <w:pPr>
              <w:pStyle w:val="NormalText"/>
              <w:snapToGrid w:val="false"/>
              <w:ind w:hanging="0"/>
              <w:jc w:val="center"/>
              <w:rPr>
                <w:sz w:val="26"/>
              </w:rPr>
            </w:pPr>
            <w:r>
              <w:rPr>
                <w:sz w:val="26"/>
              </w:rPr>
            </w:r>
          </w:p>
        </w:tc>
      </w:tr>
      <w:tr>
        <w:trPr>
          <w:trHeight w:val="255" w:hRule="atLeast"/>
        </w:trPr>
        <w:tc>
          <w:tcPr>
            <w:tcW w:w="1668" w:type="dxa"/>
            <w:tcBorders>
              <w:left w:val="single" w:sz="4" w:space="0" w:color="000000"/>
            </w:tcBorders>
            <w:vAlign w:val="bottom"/>
          </w:tcPr>
          <w:p>
            <w:pPr>
              <w:pStyle w:val="NormalText"/>
              <w:ind w:hanging="0"/>
              <w:jc w:val="center"/>
              <w:rPr>
                <w:sz w:val="26"/>
              </w:rPr>
            </w:pPr>
            <w:r>
              <w:rPr>
                <w:sz w:val="26"/>
              </w:rPr>
              <w:t>1996</w:t>
            </w:r>
          </w:p>
        </w:tc>
        <w:tc>
          <w:tcPr>
            <w:tcW w:w="275" w:type="dxa"/>
            <w:tcBorders/>
            <w:vAlign w:val="bottom"/>
          </w:tcPr>
          <w:p>
            <w:pPr>
              <w:pStyle w:val="NormalText"/>
              <w:snapToGrid w:val="false"/>
              <w:ind w:hanging="0"/>
              <w:jc w:val="center"/>
              <w:rPr>
                <w:sz w:val="26"/>
              </w:rPr>
            </w:pPr>
            <w:r>
              <w:rPr>
                <w:sz w:val="26"/>
              </w:rPr>
            </w:r>
          </w:p>
        </w:tc>
        <w:tc>
          <w:tcPr>
            <w:tcW w:w="2035" w:type="dxa"/>
            <w:tcBorders/>
            <w:vAlign w:val="bottom"/>
          </w:tcPr>
          <w:p>
            <w:pPr>
              <w:pStyle w:val="NormalText"/>
              <w:ind w:hanging="0"/>
              <w:jc w:val="center"/>
              <w:rPr>
                <w:sz w:val="26"/>
              </w:rPr>
            </w:pPr>
            <w:r>
              <w:rPr>
                <w:sz w:val="26"/>
              </w:rPr>
              <w:t>8,6</w:t>
            </w:r>
          </w:p>
        </w:tc>
        <w:tc>
          <w:tcPr>
            <w:tcW w:w="1881" w:type="dxa"/>
            <w:tcBorders/>
            <w:vAlign w:val="bottom"/>
          </w:tcPr>
          <w:p>
            <w:pPr>
              <w:pStyle w:val="NormalText"/>
              <w:ind w:hanging="0"/>
              <w:jc w:val="center"/>
              <w:rPr>
                <w:sz w:val="26"/>
              </w:rPr>
            </w:pPr>
            <w:r>
              <w:rPr>
                <w:sz w:val="26"/>
              </w:rPr>
              <w:t>14,0</w:t>
            </w:r>
          </w:p>
        </w:tc>
        <w:tc>
          <w:tcPr>
            <w:tcW w:w="2290" w:type="dxa"/>
            <w:tcBorders/>
            <w:vAlign w:val="bottom"/>
          </w:tcPr>
          <w:p>
            <w:pPr>
              <w:pStyle w:val="NormalText"/>
              <w:ind w:hanging="0"/>
              <w:jc w:val="center"/>
              <w:rPr>
                <w:sz w:val="26"/>
              </w:rPr>
            </w:pPr>
            <w:r>
              <w:rPr>
                <w:sz w:val="26"/>
              </w:rPr>
              <w:t>-5,4</w:t>
            </w:r>
          </w:p>
        </w:tc>
        <w:tc>
          <w:tcPr>
            <w:tcW w:w="732" w:type="dxa"/>
            <w:tcBorders>
              <w:right w:val="single" w:sz="4" w:space="0" w:color="000000"/>
            </w:tcBorders>
            <w:vAlign w:val="bottom"/>
          </w:tcPr>
          <w:p>
            <w:pPr>
              <w:pStyle w:val="NormalText"/>
              <w:snapToGrid w:val="false"/>
              <w:ind w:hanging="0"/>
              <w:jc w:val="center"/>
              <w:rPr>
                <w:sz w:val="26"/>
              </w:rPr>
            </w:pPr>
            <w:r>
              <w:rPr>
                <w:sz w:val="26"/>
              </w:rPr>
            </w:r>
          </w:p>
        </w:tc>
      </w:tr>
      <w:tr>
        <w:trPr>
          <w:trHeight w:val="255" w:hRule="atLeast"/>
        </w:trPr>
        <w:tc>
          <w:tcPr>
            <w:tcW w:w="1668" w:type="dxa"/>
            <w:tcBorders>
              <w:left w:val="single" w:sz="4" w:space="0" w:color="000000"/>
            </w:tcBorders>
            <w:vAlign w:val="bottom"/>
          </w:tcPr>
          <w:p>
            <w:pPr>
              <w:pStyle w:val="NormalText"/>
              <w:ind w:hanging="0"/>
              <w:jc w:val="center"/>
              <w:rPr>
                <w:sz w:val="26"/>
              </w:rPr>
            </w:pPr>
            <w:r>
              <w:rPr>
                <w:sz w:val="26"/>
              </w:rPr>
              <w:t>1997</w:t>
            </w:r>
          </w:p>
        </w:tc>
        <w:tc>
          <w:tcPr>
            <w:tcW w:w="275" w:type="dxa"/>
            <w:tcBorders/>
            <w:vAlign w:val="bottom"/>
          </w:tcPr>
          <w:p>
            <w:pPr>
              <w:pStyle w:val="NormalText"/>
              <w:snapToGrid w:val="false"/>
              <w:ind w:hanging="0"/>
              <w:jc w:val="center"/>
              <w:rPr>
                <w:sz w:val="26"/>
              </w:rPr>
            </w:pPr>
            <w:r>
              <w:rPr>
                <w:sz w:val="26"/>
              </w:rPr>
            </w:r>
          </w:p>
        </w:tc>
        <w:tc>
          <w:tcPr>
            <w:tcW w:w="2035" w:type="dxa"/>
            <w:tcBorders/>
            <w:vAlign w:val="bottom"/>
          </w:tcPr>
          <w:p>
            <w:pPr>
              <w:pStyle w:val="NormalText"/>
              <w:ind w:hanging="0"/>
              <w:jc w:val="center"/>
              <w:rPr>
                <w:sz w:val="26"/>
              </w:rPr>
            </w:pPr>
            <w:r>
              <w:rPr>
                <w:sz w:val="26"/>
              </w:rPr>
              <w:t>7,7</w:t>
            </w:r>
          </w:p>
        </w:tc>
        <w:tc>
          <w:tcPr>
            <w:tcW w:w="1881" w:type="dxa"/>
            <w:tcBorders/>
            <w:vAlign w:val="bottom"/>
          </w:tcPr>
          <w:p>
            <w:pPr>
              <w:pStyle w:val="NormalText"/>
              <w:ind w:hanging="0"/>
              <w:jc w:val="center"/>
              <w:rPr>
                <w:sz w:val="26"/>
              </w:rPr>
            </w:pPr>
            <w:r>
              <w:rPr>
                <w:sz w:val="26"/>
              </w:rPr>
              <w:t>14,7</w:t>
            </w:r>
          </w:p>
        </w:tc>
        <w:tc>
          <w:tcPr>
            <w:tcW w:w="2290" w:type="dxa"/>
            <w:tcBorders/>
            <w:vAlign w:val="bottom"/>
          </w:tcPr>
          <w:p>
            <w:pPr>
              <w:pStyle w:val="NormalText"/>
              <w:ind w:hanging="0"/>
              <w:jc w:val="center"/>
              <w:rPr>
                <w:sz w:val="26"/>
              </w:rPr>
            </w:pPr>
            <w:r>
              <w:rPr>
                <w:sz w:val="26"/>
              </w:rPr>
              <w:t>-7,0</w:t>
            </w:r>
          </w:p>
        </w:tc>
        <w:tc>
          <w:tcPr>
            <w:tcW w:w="732" w:type="dxa"/>
            <w:tcBorders>
              <w:right w:val="single" w:sz="4" w:space="0" w:color="000000"/>
            </w:tcBorders>
            <w:vAlign w:val="bottom"/>
          </w:tcPr>
          <w:p>
            <w:pPr>
              <w:pStyle w:val="NormalText"/>
              <w:snapToGrid w:val="false"/>
              <w:ind w:hanging="0"/>
              <w:jc w:val="center"/>
              <w:rPr>
                <w:sz w:val="26"/>
              </w:rPr>
            </w:pPr>
            <w:r>
              <w:rPr>
                <w:sz w:val="26"/>
              </w:rPr>
            </w:r>
          </w:p>
        </w:tc>
      </w:tr>
      <w:tr>
        <w:trPr>
          <w:trHeight w:val="255" w:hRule="atLeast"/>
        </w:trPr>
        <w:tc>
          <w:tcPr>
            <w:tcW w:w="1668" w:type="dxa"/>
            <w:tcBorders>
              <w:left w:val="single" w:sz="4" w:space="0" w:color="000000"/>
            </w:tcBorders>
            <w:vAlign w:val="bottom"/>
          </w:tcPr>
          <w:p>
            <w:pPr>
              <w:pStyle w:val="NormalText"/>
              <w:ind w:hanging="0"/>
              <w:jc w:val="center"/>
              <w:rPr>
                <w:sz w:val="26"/>
              </w:rPr>
            </w:pPr>
            <w:r>
              <w:rPr>
                <w:sz w:val="26"/>
              </w:rPr>
              <w:t>1998</w:t>
            </w:r>
          </w:p>
        </w:tc>
        <w:tc>
          <w:tcPr>
            <w:tcW w:w="275" w:type="dxa"/>
            <w:tcBorders/>
            <w:vAlign w:val="bottom"/>
          </w:tcPr>
          <w:p>
            <w:pPr>
              <w:pStyle w:val="NormalText"/>
              <w:snapToGrid w:val="false"/>
              <w:ind w:hanging="0"/>
              <w:jc w:val="center"/>
              <w:rPr>
                <w:sz w:val="26"/>
              </w:rPr>
            </w:pPr>
            <w:r>
              <w:rPr>
                <w:sz w:val="26"/>
              </w:rPr>
            </w:r>
          </w:p>
        </w:tc>
        <w:tc>
          <w:tcPr>
            <w:tcW w:w="2035" w:type="dxa"/>
            <w:tcBorders/>
            <w:vAlign w:val="bottom"/>
          </w:tcPr>
          <w:p>
            <w:pPr>
              <w:pStyle w:val="NormalText"/>
              <w:ind w:hanging="0"/>
              <w:jc w:val="center"/>
              <w:rPr>
                <w:sz w:val="26"/>
              </w:rPr>
            </w:pPr>
            <w:r>
              <w:rPr>
                <w:sz w:val="26"/>
              </w:rPr>
              <w:t>7,9</w:t>
            </w:r>
          </w:p>
        </w:tc>
        <w:tc>
          <w:tcPr>
            <w:tcW w:w="1881" w:type="dxa"/>
            <w:tcBorders/>
            <w:vAlign w:val="bottom"/>
          </w:tcPr>
          <w:p>
            <w:pPr>
              <w:pStyle w:val="NormalText"/>
              <w:ind w:hanging="0"/>
              <w:jc w:val="center"/>
              <w:rPr>
                <w:sz w:val="26"/>
              </w:rPr>
            </w:pPr>
            <w:r>
              <w:rPr>
                <w:sz w:val="26"/>
              </w:rPr>
              <w:t>14,3</w:t>
            </w:r>
          </w:p>
        </w:tc>
        <w:tc>
          <w:tcPr>
            <w:tcW w:w="2290" w:type="dxa"/>
            <w:tcBorders/>
            <w:vAlign w:val="bottom"/>
          </w:tcPr>
          <w:p>
            <w:pPr>
              <w:pStyle w:val="NormalText"/>
              <w:ind w:hanging="0"/>
              <w:jc w:val="center"/>
              <w:rPr>
                <w:sz w:val="26"/>
              </w:rPr>
            </w:pPr>
            <w:r>
              <w:rPr>
                <w:sz w:val="26"/>
              </w:rPr>
              <w:t>-6,4</w:t>
            </w:r>
          </w:p>
        </w:tc>
        <w:tc>
          <w:tcPr>
            <w:tcW w:w="732" w:type="dxa"/>
            <w:tcBorders>
              <w:right w:val="single" w:sz="4" w:space="0" w:color="000000"/>
            </w:tcBorders>
            <w:vAlign w:val="bottom"/>
          </w:tcPr>
          <w:p>
            <w:pPr>
              <w:pStyle w:val="NormalText"/>
              <w:snapToGrid w:val="false"/>
              <w:ind w:hanging="0"/>
              <w:jc w:val="center"/>
              <w:rPr>
                <w:sz w:val="26"/>
              </w:rPr>
            </w:pPr>
            <w:r>
              <w:rPr>
                <w:sz w:val="26"/>
              </w:rPr>
            </w:r>
          </w:p>
        </w:tc>
      </w:tr>
      <w:tr>
        <w:trPr>
          <w:trHeight w:val="255" w:hRule="atLeast"/>
        </w:trPr>
        <w:tc>
          <w:tcPr>
            <w:tcW w:w="1668" w:type="dxa"/>
            <w:tcBorders>
              <w:left w:val="single" w:sz="4" w:space="0" w:color="000000"/>
            </w:tcBorders>
            <w:vAlign w:val="bottom"/>
          </w:tcPr>
          <w:p>
            <w:pPr>
              <w:pStyle w:val="NormalText"/>
              <w:ind w:hanging="0"/>
              <w:jc w:val="center"/>
              <w:rPr>
                <w:sz w:val="26"/>
              </w:rPr>
            </w:pPr>
            <w:r>
              <w:rPr>
                <w:sz w:val="26"/>
              </w:rPr>
              <w:t>1999</w:t>
            </w:r>
          </w:p>
        </w:tc>
        <w:tc>
          <w:tcPr>
            <w:tcW w:w="275" w:type="dxa"/>
            <w:tcBorders/>
            <w:vAlign w:val="bottom"/>
          </w:tcPr>
          <w:p>
            <w:pPr>
              <w:pStyle w:val="NormalText"/>
              <w:snapToGrid w:val="false"/>
              <w:ind w:hanging="0"/>
              <w:jc w:val="center"/>
              <w:rPr>
                <w:sz w:val="26"/>
              </w:rPr>
            </w:pPr>
            <w:r>
              <w:rPr>
                <w:sz w:val="26"/>
              </w:rPr>
            </w:r>
          </w:p>
        </w:tc>
        <w:tc>
          <w:tcPr>
            <w:tcW w:w="2035" w:type="dxa"/>
            <w:tcBorders/>
            <w:vAlign w:val="bottom"/>
          </w:tcPr>
          <w:p>
            <w:pPr>
              <w:pStyle w:val="NormalText"/>
              <w:ind w:hanging="0"/>
              <w:jc w:val="center"/>
              <w:rPr>
                <w:sz w:val="26"/>
              </w:rPr>
            </w:pPr>
            <w:r>
              <w:rPr>
                <w:sz w:val="26"/>
              </w:rPr>
              <w:t>8,8</w:t>
            </w:r>
          </w:p>
        </w:tc>
        <w:tc>
          <w:tcPr>
            <w:tcW w:w="1881" w:type="dxa"/>
            <w:tcBorders/>
            <w:vAlign w:val="bottom"/>
          </w:tcPr>
          <w:p>
            <w:pPr>
              <w:pStyle w:val="NormalText"/>
              <w:ind w:hanging="0"/>
              <w:jc w:val="center"/>
              <w:rPr>
                <w:sz w:val="26"/>
              </w:rPr>
            </w:pPr>
            <w:r>
              <w:rPr>
                <w:sz w:val="26"/>
              </w:rPr>
              <w:t>13,6</w:t>
            </w:r>
          </w:p>
        </w:tc>
        <w:tc>
          <w:tcPr>
            <w:tcW w:w="2290" w:type="dxa"/>
            <w:tcBorders/>
            <w:vAlign w:val="bottom"/>
          </w:tcPr>
          <w:p>
            <w:pPr>
              <w:pStyle w:val="NormalText"/>
              <w:ind w:hanging="0"/>
              <w:jc w:val="center"/>
              <w:rPr>
                <w:sz w:val="26"/>
              </w:rPr>
            </w:pPr>
            <w:r>
              <w:rPr>
                <w:sz w:val="26"/>
              </w:rPr>
              <w:t>-4,8</w:t>
            </w:r>
          </w:p>
        </w:tc>
        <w:tc>
          <w:tcPr>
            <w:tcW w:w="732" w:type="dxa"/>
            <w:tcBorders>
              <w:right w:val="single" w:sz="4" w:space="0" w:color="000000"/>
            </w:tcBorders>
            <w:vAlign w:val="bottom"/>
          </w:tcPr>
          <w:p>
            <w:pPr>
              <w:pStyle w:val="NormalText"/>
              <w:snapToGrid w:val="false"/>
              <w:ind w:hanging="0"/>
              <w:jc w:val="center"/>
              <w:rPr>
                <w:sz w:val="26"/>
              </w:rPr>
            </w:pPr>
            <w:r>
              <w:rPr>
                <w:sz w:val="26"/>
              </w:rPr>
            </w:r>
          </w:p>
        </w:tc>
      </w:tr>
      <w:tr>
        <w:trPr>
          <w:trHeight w:val="255" w:hRule="atLeast"/>
        </w:trPr>
        <w:tc>
          <w:tcPr>
            <w:tcW w:w="1668" w:type="dxa"/>
            <w:tcBorders>
              <w:left w:val="single" w:sz="4" w:space="0" w:color="000000"/>
            </w:tcBorders>
            <w:vAlign w:val="bottom"/>
          </w:tcPr>
          <w:p>
            <w:pPr>
              <w:pStyle w:val="NormalText"/>
              <w:ind w:hanging="0"/>
              <w:jc w:val="center"/>
              <w:rPr>
                <w:sz w:val="26"/>
              </w:rPr>
            </w:pPr>
            <w:r>
              <w:rPr>
                <w:sz w:val="26"/>
              </w:rPr>
              <w:t>2000</w:t>
            </w:r>
          </w:p>
        </w:tc>
        <w:tc>
          <w:tcPr>
            <w:tcW w:w="275" w:type="dxa"/>
            <w:tcBorders/>
            <w:vAlign w:val="bottom"/>
          </w:tcPr>
          <w:p>
            <w:pPr>
              <w:pStyle w:val="NormalText"/>
              <w:snapToGrid w:val="false"/>
              <w:ind w:hanging="0"/>
              <w:jc w:val="center"/>
              <w:rPr>
                <w:sz w:val="26"/>
              </w:rPr>
            </w:pPr>
            <w:r>
              <w:rPr>
                <w:sz w:val="26"/>
              </w:rPr>
            </w:r>
          </w:p>
        </w:tc>
        <w:tc>
          <w:tcPr>
            <w:tcW w:w="2035" w:type="dxa"/>
            <w:tcBorders/>
            <w:vAlign w:val="bottom"/>
          </w:tcPr>
          <w:p>
            <w:pPr>
              <w:pStyle w:val="NormalText"/>
              <w:ind w:hanging="0"/>
              <w:jc w:val="center"/>
              <w:rPr>
                <w:sz w:val="26"/>
              </w:rPr>
            </w:pPr>
            <w:r>
              <w:rPr>
                <w:sz w:val="26"/>
              </w:rPr>
              <w:t>9,0</w:t>
            </w:r>
          </w:p>
        </w:tc>
        <w:tc>
          <w:tcPr>
            <w:tcW w:w="1881" w:type="dxa"/>
            <w:tcBorders/>
            <w:vAlign w:val="bottom"/>
          </w:tcPr>
          <w:p>
            <w:pPr>
              <w:pStyle w:val="NormalText"/>
              <w:ind w:hanging="0"/>
              <w:jc w:val="center"/>
              <w:rPr>
                <w:sz w:val="26"/>
              </w:rPr>
            </w:pPr>
            <w:r>
              <w:rPr>
                <w:sz w:val="26"/>
              </w:rPr>
              <w:t>14,1</w:t>
            </w:r>
          </w:p>
        </w:tc>
        <w:tc>
          <w:tcPr>
            <w:tcW w:w="2290" w:type="dxa"/>
            <w:tcBorders/>
            <w:vAlign w:val="bottom"/>
          </w:tcPr>
          <w:p>
            <w:pPr>
              <w:pStyle w:val="NormalText"/>
              <w:ind w:hanging="0"/>
              <w:jc w:val="center"/>
              <w:rPr>
                <w:sz w:val="26"/>
              </w:rPr>
            </w:pPr>
            <w:r>
              <w:rPr>
                <w:sz w:val="26"/>
              </w:rPr>
              <w:t>-5,1</w:t>
            </w:r>
          </w:p>
        </w:tc>
        <w:tc>
          <w:tcPr>
            <w:tcW w:w="732" w:type="dxa"/>
            <w:tcBorders>
              <w:right w:val="single" w:sz="4" w:space="0" w:color="000000"/>
            </w:tcBorders>
            <w:vAlign w:val="bottom"/>
          </w:tcPr>
          <w:p>
            <w:pPr>
              <w:pStyle w:val="NormalText"/>
              <w:snapToGrid w:val="false"/>
              <w:ind w:hanging="0"/>
              <w:jc w:val="center"/>
              <w:rPr>
                <w:sz w:val="26"/>
              </w:rPr>
            </w:pPr>
            <w:r>
              <w:rPr>
                <w:sz w:val="26"/>
              </w:rPr>
            </w:r>
          </w:p>
        </w:tc>
      </w:tr>
      <w:tr>
        <w:trPr>
          <w:trHeight w:val="255" w:hRule="atLeast"/>
        </w:trPr>
        <w:tc>
          <w:tcPr>
            <w:tcW w:w="1668" w:type="dxa"/>
            <w:tcBorders>
              <w:left w:val="single" w:sz="4" w:space="0" w:color="000000"/>
              <w:bottom w:val="single" w:sz="4" w:space="0" w:color="000000"/>
            </w:tcBorders>
            <w:vAlign w:val="bottom"/>
          </w:tcPr>
          <w:p>
            <w:pPr>
              <w:pStyle w:val="NormalText"/>
              <w:ind w:hanging="0"/>
              <w:jc w:val="center"/>
              <w:rPr>
                <w:sz w:val="26"/>
              </w:rPr>
            </w:pPr>
            <w:r>
              <w:rPr>
                <w:sz w:val="26"/>
              </w:rPr>
              <w:t>2001</w:t>
            </w:r>
          </w:p>
        </w:tc>
        <w:tc>
          <w:tcPr>
            <w:tcW w:w="275" w:type="dxa"/>
            <w:tcBorders>
              <w:bottom w:val="single" w:sz="4" w:space="0" w:color="000000"/>
            </w:tcBorders>
            <w:vAlign w:val="bottom"/>
          </w:tcPr>
          <w:p>
            <w:pPr>
              <w:pStyle w:val="NormalText"/>
              <w:snapToGrid w:val="false"/>
              <w:ind w:hanging="0"/>
              <w:jc w:val="center"/>
              <w:rPr>
                <w:sz w:val="26"/>
              </w:rPr>
            </w:pPr>
            <w:r>
              <w:rPr>
                <w:sz w:val="26"/>
              </w:rPr>
            </w:r>
          </w:p>
        </w:tc>
        <w:tc>
          <w:tcPr>
            <w:tcW w:w="2035" w:type="dxa"/>
            <w:tcBorders>
              <w:bottom w:val="single" w:sz="4" w:space="0" w:color="000000"/>
            </w:tcBorders>
            <w:vAlign w:val="bottom"/>
          </w:tcPr>
          <w:p>
            <w:pPr>
              <w:pStyle w:val="NormalText"/>
              <w:ind w:hanging="0"/>
              <w:jc w:val="center"/>
              <w:rPr>
                <w:sz w:val="26"/>
              </w:rPr>
            </w:pPr>
            <w:r>
              <w:rPr>
                <w:sz w:val="26"/>
              </w:rPr>
              <w:t>8,6</w:t>
            </w:r>
          </w:p>
        </w:tc>
        <w:tc>
          <w:tcPr>
            <w:tcW w:w="1881" w:type="dxa"/>
            <w:tcBorders>
              <w:bottom w:val="single" w:sz="4" w:space="0" w:color="000000"/>
            </w:tcBorders>
            <w:vAlign w:val="bottom"/>
          </w:tcPr>
          <w:p>
            <w:pPr>
              <w:pStyle w:val="NormalText"/>
              <w:ind w:hanging="0"/>
              <w:jc w:val="center"/>
              <w:rPr>
                <w:sz w:val="26"/>
              </w:rPr>
            </w:pPr>
            <w:r>
              <w:rPr>
                <w:sz w:val="26"/>
              </w:rPr>
              <w:t>14,2</w:t>
            </w:r>
          </w:p>
        </w:tc>
        <w:tc>
          <w:tcPr>
            <w:tcW w:w="2290" w:type="dxa"/>
            <w:tcBorders>
              <w:bottom w:val="single" w:sz="4" w:space="0" w:color="000000"/>
            </w:tcBorders>
            <w:vAlign w:val="bottom"/>
          </w:tcPr>
          <w:p>
            <w:pPr>
              <w:pStyle w:val="NormalText"/>
              <w:ind w:hanging="0"/>
              <w:jc w:val="center"/>
              <w:rPr>
                <w:sz w:val="26"/>
              </w:rPr>
            </w:pPr>
            <w:r>
              <w:rPr>
                <w:sz w:val="26"/>
              </w:rPr>
              <w:t>-5,6</w:t>
            </w:r>
          </w:p>
        </w:tc>
        <w:tc>
          <w:tcPr>
            <w:tcW w:w="732" w:type="dxa"/>
            <w:tcBorders>
              <w:bottom w:val="single" w:sz="4" w:space="0" w:color="000000"/>
              <w:right w:val="single" w:sz="4" w:space="0" w:color="000000"/>
            </w:tcBorders>
            <w:vAlign w:val="bottom"/>
          </w:tcPr>
          <w:p>
            <w:pPr>
              <w:pStyle w:val="NormalText"/>
              <w:snapToGrid w:val="false"/>
              <w:ind w:hanging="0"/>
              <w:jc w:val="center"/>
              <w:rPr>
                <w:sz w:val="26"/>
              </w:rPr>
            </w:pPr>
            <w:r>
              <w:rPr>
                <w:sz w:val="26"/>
              </w:rPr>
            </w:r>
          </w:p>
        </w:tc>
      </w:tr>
    </w:tbl>
    <w:p>
      <w:pPr>
        <w:pStyle w:val="TableHeading1"/>
        <w:rPr/>
      </w:pPr>
      <w:r>
        <w:rPr/>
        <w:t>Таблица № 3</w:t>
      </w:r>
    </w:p>
    <w:p>
      <w:pPr>
        <w:pStyle w:val="NormalText"/>
        <w:rPr/>
      </w:pPr>
      <w:r>
        <w:rPr/>
        <w:t>Ако направим сравнение със страните от ЕС, ще установим, че голяма част от страните имат положителен естествен прираст, като Австрия, Великобритания, Дания, Ирландия, Испания, Люксембург, Холандия, Португалия, Франция, Финландия. С отрицателен прираст в последните години са Германия, Италия, Швеция и някои други страни.</w:t>
      </w:r>
    </w:p>
    <w:p>
      <w:pPr>
        <w:pStyle w:val="NormalText"/>
        <w:rPr/>
      </w:pPr>
      <w:r>
        <w:rPr/>
        <w:t xml:space="preserve">Кратка характеристика на демографското развитие в България дава основание да се направи изводът, че страната ни е изпаднала в тежка </w:t>
      </w:r>
      <w:r>
        <w:rPr>
          <w:b/>
        </w:rPr>
        <w:t>демографска криза</w:t>
      </w:r>
      <w:r>
        <w:rPr/>
        <w:t xml:space="preserve"> или даже </w:t>
      </w:r>
      <w:r>
        <w:rPr>
          <w:b/>
        </w:rPr>
        <w:t>демографски колапс</w:t>
      </w:r>
      <w:r>
        <w:rPr/>
        <w:t>.</w:t>
      </w:r>
    </w:p>
    <w:p>
      <w:pPr>
        <w:pStyle w:val="ListBullet5"/>
        <w:numPr>
          <w:ilvl w:val="0"/>
          <w:numId w:val="4"/>
        </w:numPr>
        <w:ind w:left="964" w:hanging="284"/>
        <w:rPr/>
      </w:pPr>
      <w:r>
        <w:rPr>
          <w:b/>
        </w:rPr>
        <w:t>Първо</w:t>
      </w:r>
      <w:r>
        <w:rPr/>
        <w:t>, отрицателният прираст у нас премина в устойчиво увеличаваща се депопулация, от която губим все по-голяма численост от населението си.</w:t>
      </w:r>
    </w:p>
    <w:p>
      <w:pPr>
        <w:pStyle w:val="ListBullet5"/>
        <w:numPr>
          <w:ilvl w:val="0"/>
          <w:numId w:val="4"/>
        </w:numPr>
        <w:ind w:left="964" w:hanging="284"/>
        <w:rPr/>
      </w:pPr>
      <w:r>
        <w:rPr>
          <w:b/>
        </w:rPr>
        <w:t xml:space="preserve">Второ, </w:t>
      </w:r>
      <w:r>
        <w:rPr/>
        <w:t>с намаляването на раждаемостта се изменя възрастовият състав на населението ни с тенденция към остаряване. Ако една страна се стреми да поддържа поне стационарен тип на възпроизводство на населението си, относителният дял на младото население не бива да спада под 25% от общото население.</w:t>
      </w:r>
    </w:p>
    <w:p>
      <w:pPr>
        <w:pStyle w:val="ListBullet5"/>
        <w:numPr>
          <w:ilvl w:val="0"/>
          <w:numId w:val="4"/>
        </w:numPr>
        <w:ind w:left="964" w:hanging="284"/>
        <w:rPr/>
      </w:pPr>
      <w:r>
        <w:rPr>
          <w:b/>
        </w:rPr>
        <w:t xml:space="preserve">Трето, </w:t>
      </w:r>
      <w:r>
        <w:rPr/>
        <w:t>най-ниска е раждаемостта и най-бързо остарява българският етнос, като тук не е взета предвид загубата на населението от емиграция (</w:t>
      </w:r>
      <w:r>
        <w:rPr>
          <w:b/>
          <w:i/>
        </w:rPr>
        <w:t>знае се, че минималният брой е над 550 000 души, като емигрират преди всичко млади хора с високо образование и професионална квалификация</w:t>
      </w:r>
      <w:r>
        <w:rPr>
          <w:b/>
        </w:rPr>
        <w:t>).</w:t>
      </w:r>
    </w:p>
    <w:p>
      <w:pPr>
        <w:pStyle w:val="NormalText"/>
        <w:rPr/>
      </w:pPr>
      <w:r>
        <w:rPr>
          <w:b/>
        </w:rPr>
        <w:t>Демографските проблеми</w:t>
      </w:r>
      <w:r>
        <w:rPr/>
        <w:t xml:space="preserve">, които ще настъпят след 2020 година, са много и тежки: преди всичко </w:t>
      </w:r>
      <w:r>
        <w:rPr>
          <w:b/>
        </w:rPr>
        <w:t xml:space="preserve">висока степен на остаряване на населението, </w:t>
      </w:r>
      <w:r>
        <w:rPr/>
        <w:t xml:space="preserve"> което на свой ред поставя много сериозни проблеми пред социалната и здравната система; </w:t>
      </w:r>
      <w:r>
        <w:rPr>
          <w:b/>
        </w:rPr>
        <w:t xml:space="preserve">смъртността </w:t>
      </w:r>
      <w:r>
        <w:rPr/>
        <w:t xml:space="preserve">ще продължава да нараства поради високия дял на възрастното население; намаляване броя на родените деца като абсолютни стойности поради малкия брой жени в репродуктивна възраст; тенденциите при смъртността и раждаемостта ще определят друга тенденция – към </w:t>
      </w:r>
      <w:r>
        <w:rPr>
          <w:b/>
        </w:rPr>
        <w:t xml:space="preserve">нарастване на депопулацията; населението в трудоспособна възраст ще намалява </w:t>
      </w:r>
      <w:r>
        <w:rPr/>
        <w:t xml:space="preserve">и по абсолютен брой, и по относителен дял и по тази причина ще се затрудни създаването на БВП и фондове за издръжката на възрастното население; </w:t>
      </w:r>
      <w:r>
        <w:rPr>
          <w:b/>
        </w:rPr>
        <w:t xml:space="preserve">общият брой на населението в България ще намалява </w:t>
      </w:r>
      <w:r>
        <w:rPr/>
        <w:t>непрекъснато и чувствително (според най-песимистичните прогнози към 2050 г. населението ще бъде около 5 200 000 души).</w:t>
      </w:r>
    </w:p>
    <w:p>
      <w:pPr>
        <w:pStyle w:val="NormalText"/>
        <w:rPr/>
      </w:pPr>
      <w:r>
        <w:rPr/>
        <w:t xml:space="preserve">След всички тези анализи можем да потвърдим неблагоприятния факт, че населението в България понастоящем има </w:t>
      </w:r>
      <w:r>
        <w:rPr>
          <w:b/>
        </w:rPr>
        <w:t xml:space="preserve">модел на старо население. </w:t>
      </w:r>
    </w:p>
    <w:p>
      <w:pPr>
        <w:pStyle w:val="NormalText"/>
        <w:rPr/>
      </w:pPr>
      <w:r>
        <w:rPr/>
        <w:t>Активизирането на неблагоприятни тенденции и процеси, свързани с демографските структури на населението в България през последното десетилетие, налага да се направят адекватни промени в практиката на социалното управление. Новите демографски реалности изискват провеждане на по-гъвкава социална политика, отговаряща на тенденциите на извършващите се изменения. Водещо място в нея трябва да намерят качествените критерии при оценка на наличните човешки ресурси и тяхното възпроизводство.</w:t>
      </w:r>
    </w:p>
    <w:p>
      <w:pPr>
        <w:pStyle w:val="NormalText"/>
        <w:rPr/>
      </w:pPr>
      <w:r>
        <w:rPr/>
        <w:t xml:space="preserve">Както изтъква проф. М. </w:t>
      </w:r>
      <w:r>
        <w:rPr>
          <w:b/>
        </w:rPr>
        <w:t>Минков</w:t>
      </w:r>
      <w:r>
        <w:rPr/>
        <w:t xml:space="preserve"> (31, с. 189 и сл.) необходима е </w:t>
      </w:r>
      <w:r>
        <w:rPr>
          <w:b/>
        </w:rPr>
        <w:t>цялостна реформа</w:t>
      </w:r>
      <w:r>
        <w:rPr/>
        <w:t xml:space="preserve"> и реализиране на </w:t>
      </w:r>
      <w:r>
        <w:rPr>
          <w:b/>
        </w:rPr>
        <w:t>нова демографска политика</w:t>
      </w:r>
      <w:r>
        <w:rPr/>
        <w:t>, която да осигурява всички комплексни условия за естественото развитие на населението ни. Демографската политика е фундаментът, върху който се изгражда мениджмънтът на всички  национални социални системи.</w:t>
      </w:r>
    </w:p>
    <w:p>
      <w:pPr>
        <w:pStyle w:val="NormalText"/>
        <w:rPr/>
      </w:pPr>
      <w:r>
        <w:rPr/>
        <w:t>В центъра на вниманието на социално-икономическата политика (нейната целева функция) следва да бъде осигуряване на условия за нормално възпроизводство и реализация на хората. Това изисква нашата икономическа реформа да престане да работи само с монетарния си компонент, което засилва неравенството, а да продължи да провежда икономически добре мотивирана структурна реформа, разширяване на инвестициите и иновациите и провеждане на разумна и ефективна за страната приватизация. Целта да бъде преодоляване на безработицата и осигуряване на нормални жизнени и битови условия на хората. Не може да не ни тревожи фактът, че България има годишен брутен вътрешен продукт на човек от населението (според данните на НСИ за 1995 г.) 1537 долара.. Това е ниво 7 пъти по-ниско от постигнатото в съседна Гърция и 28 пъти по-ниско от това в Швейцария.</w:t>
      </w:r>
    </w:p>
    <w:p>
      <w:pPr>
        <w:pStyle w:val="NormalText"/>
        <w:rPr/>
      </w:pPr>
      <w:r>
        <w:rPr/>
        <w:t>Целта на демографската политика следва да бъде насочена към осигуряване на условия за нормално възпроизводство и реализация на хората съобразно техните желания и възможности, както и потребностите на обществото. Особено значение има и политиката за семейството, която следва да се радва на по-ефективна обществена поддръжка за постигане на неговата стабилност, като се отчитат специфичните особености на функциите и формите му при новите условия на преход на страната към пазарна икономика и демократична система на управление. За постигането на тези цели е необходимо да се обърне внимание на социално-икономическите условия, които са в основата на стабилизирането и развитието на личността и семейството. Не бива да се подценява и ролята на културата, образованието, възпитанието и комуникациите, чрез които да се формират адекватни на новите условия норми и ценности в личността и семейството. Майчиното и детското здравеопазване и планирането на семейството са една от задачите на демографската политика. Нужно е да се отговори и на изискването за осигуряване на равенство на родителите и защита правата на децата.</w:t>
      </w:r>
    </w:p>
    <w:p>
      <w:pPr>
        <w:pStyle w:val="NormalText"/>
        <w:rPr/>
      </w:pPr>
      <w:r>
        <w:rPr/>
        <w:t xml:space="preserve">Дейностите, които е необходимо да се провеждат за постигане на набелязаните цели на демографската политика, следва да бъдат съобразени преди всичко с </w:t>
      </w:r>
      <w:r>
        <w:rPr>
          <w:b/>
        </w:rPr>
        <w:t>основните права на човека.</w:t>
      </w:r>
      <w:r>
        <w:rPr/>
        <w:t xml:space="preserve"> Те трябва да осигуряват правото на “родителите и отделните лица свободно и отговорно да решават въпроса за броя на своите деца и интервала между тяхното раждане, като получат необходимите за това информации, образование и средства”. Следва да се гарантира “правото на здраве и плодотворен живот в хармония с природната среда”. Да се осигури правото на трудова реализация и “жизнено равнище на личността и неговото семейство, включващо достатъчно храна, облекло и жилище”. Всеки човек има право на образование, което предпоставя пълна реализация на личността.</w:t>
      </w:r>
    </w:p>
    <w:p>
      <w:pPr>
        <w:pStyle w:val="NormalText"/>
        <w:rPr/>
      </w:pPr>
      <w:r>
        <w:rPr/>
        <w:t>За осигуряване на основните права на личността демографската политика следва най-напред да акцентира върху социално-икономическата поддръжка на личността и семейството. Особено сега, когато страната ни се намира в преход, условията на живот на много семейства се влошиха поради разширяващата се безработица и липса на доходна заетост. При тези условия управленските органи се стремят да балансират бюджета най-вече за сметка на социалните разходи. Така расте броят на уязвимите семейства, на безработните, на самотните майки с деца, на самотните възрастни хора, на инвалидите.</w:t>
      </w:r>
    </w:p>
    <w:p>
      <w:pPr>
        <w:pStyle w:val="NormalText"/>
        <w:rPr/>
      </w:pPr>
      <w:r>
        <w:rPr/>
        <w:t>Социалното осигуряване в голяма степен да покрива потребностите на самотните, възрастните и инвалидите. Нужно е да се полагат грижи и за поддръжка на специалните домове за тях. Не бива да се изоставя и домашният патронаж като една форма, която високо се оценява и от страните с най-добре организирано социално осигуряване. Подпомагането на тези семейства не може да се бъде грижа само на държавата. То трябва да се осигурява и от общините, а в определена степен да се прибягва и към спонсорство.</w:t>
      </w:r>
    </w:p>
    <w:p>
      <w:pPr>
        <w:pStyle w:val="NormalText"/>
        <w:rPr/>
      </w:pPr>
      <w:r>
        <w:rPr/>
        <w:t>Нарастващата изолация с оттегляне в пенсия, разпадащата се семейна солидарност,  и прогресивно нарастваща заболяваемост прави старите хора крайно зависими, безпомощни и самотни. Това изисква ново отношение от цялата система на здравеопазването към тази група от населението (</w:t>
      </w:r>
      <w:r>
        <w:rPr>
          <w:b/>
          <w:i/>
        </w:rPr>
        <w:t>по-голяма от броя на децата и подрастващите).</w:t>
      </w:r>
    </w:p>
    <w:p>
      <w:pPr>
        <w:pStyle w:val="NormalText"/>
        <w:rPr/>
      </w:pPr>
      <w:r>
        <w:rPr/>
        <w:t xml:space="preserve">Изучаването на процесите на стареенето в </w:t>
      </w:r>
      <w:r>
        <w:rPr>
          <w:b/>
        </w:rPr>
        <w:t>медико-демографски</w:t>
      </w:r>
      <w:r>
        <w:rPr/>
        <w:t xml:space="preserve"> и </w:t>
      </w:r>
      <w:r>
        <w:rPr>
          <w:b/>
        </w:rPr>
        <w:t>медико-социален</w:t>
      </w:r>
      <w:r>
        <w:rPr/>
        <w:t xml:space="preserve"> аспект представлява неотменна задача на цялата система от държавни и обществени организации и особено от органите на здравеопазването. Необходимостта от изучаване на демографията на стареенето се определя и от факта, че с възрастта нарастват и потребностите на старите хора от медицински грижи, социална закрила и помощ поради загубата на физически сили, нарастваща патология и висока смъртност.</w:t>
      </w:r>
    </w:p>
    <w:p>
      <w:pPr>
        <w:pStyle w:val="Heading1"/>
        <w:rPr/>
      </w:pPr>
      <w:bookmarkStart w:id="18" w:name="__RefHeading___Toc89859679"/>
      <w:r>
        <w:rPr/>
        <w:t>ПЕТА</w:t>
      </w:r>
      <w:r>
        <w:rPr>
          <w:lang w:val="en-US"/>
        </w:rPr>
        <w:t xml:space="preserve"> </w:t>
      </w:r>
      <w:r>
        <w:rPr/>
        <w:t>ТЕМА</w:t>
        <w:br/>
        <w:t>ЗДРАВНО-ХИГИЕННИ</w:t>
        <w:br/>
        <w:t>ОСНОВИ НА ГЕРАГОГИКАТА</w:t>
      </w:r>
      <w:bookmarkEnd w:id="18"/>
      <w:r>
        <w:rPr/>
        <w:t xml:space="preserve"> </w:t>
      </w:r>
    </w:p>
    <w:p>
      <w:pPr>
        <w:pStyle w:val="Heading2"/>
        <w:rPr/>
      </w:pPr>
      <w:bookmarkStart w:id="19" w:name="__RefHeading___Toc89859680"/>
      <w:r>
        <w:rPr/>
        <w:t>5.1. Здравето – основна човешка ценност</w:t>
      </w:r>
      <w:bookmarkEnd w:id="19"/>
      <w:r>
        <w:rPr/>
        <w:t xml:space="preserve"> </w:t>
      </w:r>
    </w:p>
    <w:p>
      <w:pPr>
        <w:pStyle w:val="NormalText"/>
        <w:rPr/>
      </w:pPr>
      <w:r>
        <w:rPr/>
        <w:t>Здравето винаги е било първостепенна жизнена потребност на човека, най-висша ценност.  То е лично богатство, което не може да се предаде на друг. За него много се пише и говори, но малко хора се грижат сериозно за здравето си. Да се говори за здравето на човека никога не е излишно, защото много често, когато сме здрави, забравяме за него.</w:t>
      </w:r>
    </w:p>
    <w:p>
      <w:pPr>
        <w:pStyle w:val="NormalText"/>
        <w:rPr/>
      </w:pPr>
      <w:r>
        <w:rPr/>
        <w:t xml:space="preserve">Обикновено здравето се определя като </w:t>
      </w:r>
      <w:r>
        <w:rPr>
          <w:b/>
        </w:rPr>
        <w:t>безценно съкровище</w:t>
      </w:r>
      <w:r>
        <w:rPr/>
        <w:t xml:space="preserve">. То е най-голямото човешко притежание. За безценността на здравето се изказва още </w:t>
      </w:r>
      <w:r>
        <w:rPr>
          <w:b/>
        </w:rPr>
        <w:t>Херодот</w:t>
      </w:r>
      <w:r>
        <w:rPr/>
        <w:t xml:space="preserve">: </w:t>
      </w:r>
      <w:r>
        <w:rPr>
          <w:b/>
        </w:rPr>
        <w:t>“</w:t>
      </w:r>
      <w:r>
        <w:rPr/>
        <w:t xml:space="preserve">Когато няма здраве, мълчи мъдростта, не може да разцъфтява изкуството, не играят силите, безполезно е богатството и безсилен е разумът”. А според древноримският поет </w:t>
      </w:r>
      <w:r>
        <w:rPr>
          <w:b/>
        </w:rPr>
        <w:t>Ювенал</w:t>
      </w:r>
      <w:r>
        <w:rPr/>
        <w:t xml:space="preserve"> здравият дух живее само в здраво тяло и това трябва да бъде стремеж на всеки, защото здравето е живот и красота”. Стремежът към здраве, към неговото съхраняване е основен за всички хора, във всички исторически епохи. Значението на здравето е отразено и в народното творчество, в обичаите и ритуалите, съпътстващи ежедневието и празниците на българина. С него са свързани много обреди и пожелания още от раждането на детето – мартеница за здраве, китка за здраве, курбан за здраве, магия за здраве и много други. Общуването между хората включва поздрава “Здравей” и пожеланието “Бъди здрав”.  </w:t>
      </w:r>
    </w:p>
    <w:p>
      <w:pPr>
        <w:pStyle w:val="NormalText"/>
        <w:rPr/>
      </w:pPr>
      <w:r>
        <w:rPr/>
        <w:t xml:space="preserve">В съвременни условия значението на здравето непрекъснато нараства. Безработицата, разслоението в обществото, твърде честите промени в здравеопазването и много други фактори водят до влошаване на здравето на голям брой  хора.  Въпреки големите успехи на науката опасността от много заболявания продължава да бъде сериозна. Научно-техническият прогрес, глобализационните процеси,  появата на сложни видове дейности измениха първичния ритъм на живота, което не може да не окаже влияние върху човешкия организъм.  Нервно-емоционалното напрежение и стресът, като следствие от темпа на съвременния живот, често са причина за съществени нарушения в регулацията на основните физиологични функции на организма. Увеличава се честотата на редица социално значими заболявания: хипертонията, исхемичната болест на сърцето, мозъчно-съдовата болест, онкологичните заболявания, диабета и др., усложненията на които в немалко  случаи водят до летален изход.  </w:t>
      </w:r>
    </w:p>
    <w:p>
      <w:pPr>
        <w:pStyle w:val="NormalText"/>
        <w:rPr/>
      </w:pPr>
      <w:r>
        <w:rPr/>
        <w:t xml:space="preserve">Проблемите, които ХХІ век поставя пред нашата страна – икономически, демографски, информационни и интеграционни, оказват съществено влияние върху </w:t>
      </w:r>
      <w:r>
        <w:rPr>
          <w:b/>
        </w:rPr>
        <w:t>здравното състояние на населението</w:t>
      </w:r>
      <w:r>
        <w:rPr/>
        <w:t xml:space="preserve">. Сниженият жизнен стандарт, тревожните здравно-демографски показатели, влошеният здравен статус правят особено актуален въпросът за цялостна промяна на съществуващите подходи към здравето на обществото. Увеличаването на хроничните неинфекциозни заболявания, които не само нарушават качеството на живота, а и обуславят нарастването на смъртността, широкото разпространение на рисковите фактори за здравето, слабата мотивираност и отговорност на отделната личност за опазване и повишаване на собственото здраве, ниската ефективност на досегашните профилактични програми, са комплекс от фактори, които обуславят необходимостта от търсене на ефективни подходи, способстващи за укрепване на здравето и разгръщане на жизнено-творческите сили на личността. </w:t>
      </w:r>
    </w:p>
    <w:p>
      <w:pPr>
        <w:pStyle w:val="NormalText"/>
        <w:rPr/>
      </w:pPr>
      <w:r>
        <w:rPr/>
        <w:t xml:space="preserve">Здравето е изключително важно за живота на всеки човек, защото осигурява необходимите предпоставки за неговото пълноценно съществуване. Здравето е не само ценност, а и едно от условията за успех на хората в техните начинания, както и за просперитета на цялото общество. По-доброто здраве влияе положително върху икономическия напредък, повишава работоспособността и продуктивността на индивида, прави хората по-устойчиви по отношение на вредните влияния на различните фактори на околната среда.  Не случайно мисията на Световната здравна организация (СЗО) “Здраве за всички през ХХІ век” е насочена към подобряване качеството на живота на населението в глобален мащаб.  </w:t>
      </w:r>
    </w:p>
    <w:p>
      <w:pPr>
        <w:pStyle w:val="NormalText"/>
        <w:rPr/>
      </w:pPr>
      <w:r>
        <w:rPr/>
        <w:t xml:space="preserve">В специализираната научна литература </w:t>
      </w:r>
      <w:r>
        <w:rPr>
          <w:b/>
        </w:rPr>
        <w:t>понятието “здраве”</w:t>
      </w:r>
      <w:r>
        <w:rPr/>
        <w:t xml:space="preserve"> се интерпретира по различен начин, в зависимост от авторските позиции. Мнозина учени разглеждат здравето като естествено състояние на организма, характеризиращо се с неговата уравновесеност с околната среда и отсъствието на каквито и да са болестни изменения. За други учени здравето е способността на човека да се приспособява към определена околна среда, както психически, така и физически. Анализът на схващанията на различните автори по този въпрос позволява да се разграничат, макар и условно, следните типове определения: </w:t>
      </w:r>
    </w:p>
    <w:p>
      <w:pPr>
        <w:pStyle w:val="ListBullet5"/>
        <w:numPr>
          <w:ilvl w:val="0"/>
          <w:numId w:val="4"/>
        </w:numPr>
        <w:ind w:left="964" w:hanging="284"/>
        <w:rPr/>
      </w:pPr>
      <w:r>
        <w:rPr/>
        <w:t>първо, здравето е състояние на организма като структурни и функционални взаимоотношения между работата на органите и в системите от органи, способстващи за регулиране на вътрешния хомеостазис в организма;</w:t>
      </w:r>
    </w:p>
    <w:p>
      <w:pPr>
        <w:pStyle w:val="ListBullet5"/>
        <w:numPr>
          <w:ilvl w:val="0"/>
          <w:numId w:val="4"/>
        </w:numPr>
        <w:ind w:left="964" w:hanging="284"/>
        <w:rPr/>
      </w:pPr>
      <w:r>
        <w:rPr/>
        <w:t>второ, здравето представлява способност на организма да съхрани устойчивост в количествено и качествено отношение между параметрите на сензорната, вербалната и структурната информация;</w:t>
      </w:r>
    </w:p>
    <w:p>
      <w:pPr>
        <w:pStyle w:val="ListBullet5"/>
        <w:numPr>
          <w:ilvl w:val="0"/>
          <w:numId w:val="4"/>
        </w:numPr>
        <w:ind w:left="964" w:hanging="284"/>
        <w:rPr/>
      </w:pPr>
      <w:r>
        <w:rPr/>
        <w:t>трето, здравето е процес на съхранение и развитие в позитивен план на психическите, физическите и биологическите способности на човека;</w:t>
      </w:r>
    </w:p>
    <w:p>
      <w:pPr>
        <w:pStyle w:val="ListBullet5"/>
        <w:numPr>
          <w:ilvl w:val="0"/>
          <w:numId w:val="4"/>
        </w:numPr>
        <w:ind w:left="964" w:hanging="284"/>
        <w:rPr/>
      </w:pPr>
      <w:r>
        <w:rPr/>
        <w:t>четвърто, здравето предполага адаптивни възможности, съответстващи на мотивираната потребност на организма за изпълнение на жизнено важни дела;</w:t>
      </w:r>
    </w:p>
    <w:p>
      <w:pPr>
        <w:pStyle w:val="ListBullet5"/>
        <w:numPr>
          <w:ilvl w:val="0"/>
          <w:numId w:val="4"/>
        </w:numPr>
        <w:ind w:left="964" w:hanging="284"/>
        <w:rPr/>
      </w:pPr>
      <w:r>
        <w:rPr/>
        <w:t>пето, здравият организъм е в състояние успешно да се противопостави на евентуални отклонения от равновесието (от появилото се заболяване);</w:t>
      </w:r>
    </w:p>
    <w:p>
      <w:pPr>
        <w:pStyle w:val="ListBullet5"/>
        <w:numPr>
          <w:ilvl w:val="0"/>
          <w:numId w:val="4"/>
        </w:numPr>
        <w:ind w:left="964" w:hanging="284"/>
        <w:rPr/>
      </w:pPr>
      <w:r>
        <w:rPr/>
        <w:t>шесто, здравето е психосоматично състояние на човека, осигуряващо оптимална реализация на неговите възможности;</w:t>
      </w:r>
    </w:p>
    <w:p>
      <w:pPr>
        <w:pStyle w:val="ListBullet5"/>
        <w:numPr>
          <w:ilvl w:val="0"/>
          <w:numId w:val="4"/>
        </w:numPr>
        <w:ind w:left="964" w:hanging="284"/>
        <w:rPr/>
      </w:pPr>
      <w:r>
        <w:rPr/>
        <w:t xml:space="preserve">седмо, здравето характеризира оптималното взаимодействие между екзогенните (обективно природните) и ендогенните (наследствени) фактори. </w:t>
      </w:r>
    </w:p>
    <w:p>
      <w:pPr>
        <w:pStyle w:val="ListBullet5"/>
        <w:numPr>
          <w:ilvl w:val="0"/>
          <w:numId w:val="4"/>
        </w:numPr>
        <w:ind w:left="964" w:hanging="284"/>
        <w:rPr/>
      </w:pPr>
      <w:r>
        <w:rPr/>
        <w:t xml:space="preserve">Здравето се обуславя от влиянието на </w:t>
      </w:r>
      <w:r>
        <w:rPr>
          <w:b/>
        </w:rPr>
        <w:t>биологичната, психичната</w:t>
      </w:r>
      <w:r>
        <w:rPr/>
        <w:t xml:space="preserve"> и </w:t>
      </w:r>
      <w:r>
        <w:rPr>
          <w:b/>
        </w:rPr>
        <w:t>социалната</w:t>
      </w:r>
      <w:r>
        <w:rPr/>
        <w:t xml:space="preserve"> среда, които взаимно се допълват и проникват. От соматично гледище здравето може да се разглежда като подчинено на индивидуалната биопсихологическа програма за развитието на отделния човек.  От морфологически позиции то характеризира резервните възможности на клетките, на тъканите, на органите и на системите от органи за осигуряване на  адаптацията на човешкия организъм към въздействието на едни или други групи от фактори. В психологически, духовен аспект то е онзи емоционален потенциал, който ефективно стимулира действия и поведения за постигане на максимално възможни резултати. </w:t>
      </w:r>
    </w:p>
    <w:p>
      <w:pPr>
        <w:pStyle w:val="NormalText"/>
        <w:rPr/>
      </w:pPr>
      <w:r>
        <w:rPr/>
        <w:t xml:space="preserve">За общоприето се смята </w:t>
      </w:r>
      <w:r>
        <w:rPr>
          <w:b/>
        </w:rPr>
        <w:t>определението</w:t>
      </w:r>
      <w:r>
        <w:rPr/>
        <w:t xml:space="preserve">, поместено в преамбюла на Устава на СЗО, където здравето се разглежда като “състояние на пълно физическо, психическо и социално благополучие, а не само отсъствие на заболяване  и недъг”. Едно такова разбиране за категорията “здраве” до голяма степен се покрива с категорията “качество на живота”. В действителност обаче здравето е само един от компонентите на качеството на живота, макар че е важна предпоставка за всеки един от тях и се влияе от всеки от тях. С други думи, здравето не изчерпва цялото съдържание на качеството на живота, но </w:t>
      </w:r>
      <w:r>
        <w:rPr>
          <w:b/>
        </w:rPr>
        <w:t>доброто здраве</w:t>
      </w:r>
      <w:r>
        <w:rPr/>
        <w:t xml:space="preserve"> означава и </w:t>
      </w:r>
      <w:r>
        <w:rPr>
          <w:b/>
        </w:rPr>
        <w:t>високо качество на живот</w:t>
      </w:r>
      <w:r>
        <w:rPr/>
        <w:t xml:space="preserve">.  От двете основни категории, които широко се използват в науката и житейската практика “здраве “ и “болест”, като че ли определението на понятието </w:t>
      </w:r>
      <w:r>
        <w:rPr>
          <w:b/>
        </w:rPr>
        <w:t>“болест”</w:t>
      </w:r>
      <w:r>
        <w:rPr/>
        <w:t xml:space="preserve"> е по-лесно в сравнение със здравето. Болестта е нарушение на жизнените функции на организма, на неговите връзки с околната среда, и обикновено води до временна или по-трайна загуба на работоспособността. Липсата на здраве води до неудовлетвореност от живота, до социална изолация и дори до обособяване на определени рискови социални групи. С други думи, здравето дава простор на свободата на действие на личността в професионалната й реализация, в семейството и в социалния живот. Всеизвестна е мисълта на Шопенхауер: “Здравето не е всичко, обаче без здравето всичко е нищо.”</w:t>
      </w:r>
    </w:p>
    <w:p>
      <w:pPr>
        <w:pStyle w:val="NormalText"/>
        <w:rPr/>
      </w:pPr>
      <w:r>
        <w:rPr/>
        <w:t xml:space="preserve">Отчитайки холистичната същност на здравето и съвременното разбиране за неговата </w:t>
      </w:r>
      <w:r>
        <w:rPr>
          <w:b/>
        </w:rPr>
        <w:t xml:space="preserve">интегрална природа, </w:t>
      </w:r>
      <w:r>
        <w:rPr/>
        <w:t xml:space="preserve">новата “социално-екологична” дефиниция на СЗО, приета с Отавската харта за промоция на здраве (1986 г.), акцентът са поставя върху  “способността на хората да идентифицират и реализират стремежи, да задоволяват потребности и да променят или да се справят с околната среда. Здравето се разглежда като ресурс за ежедневното съществуване, а не като цел на живота”. Холистичното здраве включва: физическо здраве, психично здраве, емоционално здраве, социално здраве и духовно здраве. Всеки един от тези аспекти е важен и въздейства върху другите. Напоследък започна да придобива все по-широка популярност </w:t>
      </w:r>
      <w:r>
        <w:rPr>
          <w:b/>
        </w:rPr>
        <w:t>валеологията</w:t>
      </w:r>
      <w:r>
        <w:rPr/>
        <w:t>, като наука за здравето, която се основава на холистичния подход и пътищата за неговото утвърждаване. Тя изучава същността и проявите на индивидуалното здраве, методите на неговата диагностика и прогноза, както и подобрението му, чрез подобряване на качеството на живота и социалната адаптация на индивида.</w:t>
      </w:r>
    </w:p>
    <w:p>
      <w:pPr>
        <w:pStyle w:val="Heading2"/>
        <w:rPr/>
      </w:pPr>
      <w:bookmarkStart w:id="20" w:name="__RefHeading___Toc89859681"/>
      <w:r>
        <w:rPr>
          <w:lang w:val="bg-BG"/>
        </w:rPr>
        <w:t xml:space="preserve">5.2. </w:t>
      </w:r>
      <w:r>
        <w:rPr/>
        <w:t>Обща характеристика на здравното състояние на българската нация</w:t>
      </w:r>
      <w:bookmarkEnd w:id="20"/>
      <w:r>
        <w:rPr/>
        <w:t xml:space="preserve">  </w:t>
      </w:r>
    </w:p>
    <w:p>
      <w:pPr>
        <w:pStyle w:val="NormalText"/>
        <w:rPr/>
      </w:pPr>
      <w:r>
        <w:rPr/>
        <w:t>Цялостната характеристика на здравното състояние на населението се определя според няколко показателя: демографски, раждаемост, заболяваемост и смъртност, самооценка на здравето, ниво на факторите на риска и др. (вж.по-подробно 43).</w:t>
      </w:r>
    </w:p>
    <w:p>
      <w:pPr>
        <w:pStyle w:val="NormalText"/>
        <w:rPr/>
      </w:pPr>
      <w:r>
        <w:rPr>
          <w:b/>
        </w:rPr>
        <w:t xml:space="preserve">Раждаемостта </w:t>
      </w:r>
      <w:r>
        <w:rPr/>
        <w:t xml:space="preserve"> е основен компонент на естествения прираст на населението. През 2000 г. в България са родени 74 234 деца, от които 73 679 или 99,3%</w:t>
      </w:r>
      <w:r>
        <w:rPr>
          <w:vertAlign w:val="subscript"/>
        </w:rPr>
        <w:t>0</w:t>
      </w:r>
      <w:r>
        <w:rPr/>
        <w:t xml:space="preserve"> са живородени. В градовете и селата живородените са съответно 52 789 и 20 890 деца. В сравнение с предходната година живородените деца са с 1 388 повече. Броят на живородените деца през 2000 г. е най-голям за целия период 1995 – 2000 година.</w:t>
      </w:r>
    </w:p>
    <w:p>
      <w:pPr>
        <w:pStyle w:val="NormalText"/>
        <w:rPr/>
      </w:pPr>
      <w:r>
        <w:rPr/>
        <w:t xml:space="preserve">При разглеждане на показателя </w:t>
      </w:r>
      <w:r>
        <w:rPr>
          <w:b/>
        </w:rPr>
        <w:t xml:space="preserve">раждаемост </w:t>
      </w:r>
      <w:r>
        <w:rPr/>
        <w:t>през последните сто години, ще се види, че той непрекъснато и плавно се понижава (1990 – 42 %</w:t>
      </w:r>
      <w:r>
        <w:rPr>
          <w:vertAlign w:val="subscript"/>
        </w:rPr>
        <w:t>0</w:t>
      </w:r>
      <w:r>
        <w:rPr/>
        <w:t>, 2000 – 9,0 %</w:t>
      </w:r>
      <w:r>
        <w:rPr>
          <w:vertAlign w:val="subscript"/>
        </w:rPr>
        <w:t>0</w:t>
      </w:r>
      <w:r>
        <w:rPr/>
        <w:t>). Минималната си стойност от 7,7%</w:t>
      </w:r>
      <w:r>
        <w:rPr>
          <w:vertAlign w:val="subscript"/>
        </w:rPr>
        <w:t>0</w:t>
      </w:r>
      <w:r>
        <w:rPr/>
        <w:t xml:space="preserve"> достига през 1997 година. След 1998 г. този измерител на равнището на раждаемостта започва да нараства и през 2000 г. достига 9,0 %0. Тази тенденция е характерна както за градското, така и за селското население. В градовете раждаемостта на 1000 души от населението през 2000 г. е 9,5%</w:t>
      </w:r>
      <w:r>
        <w:rPr>
          <w:vertAlign w:val="subscript"/>
        </w:rPr>
        <w:t>0</w:t>
      </w:r>
      <w:r>
        <w:rPr/>
        <w:t>, а в селата е по-ниска – 8,1%</w:t>
      </w:r>
      <w:r>
        <w:rPr>
          <w:vertAlign w:val="subscript"/>
        </w:rPr>
        <w:t>0</w:t>
      </w:r>
      <w:r>
        <w:rPr/>
        <w:t>.</w:t>
      </w:r>
    </w:p>
    <w:p>
      <w:pPr>
        <w:pStyle w:val="NormalText"/>
        <w:rPr/>
      </w:pPr>
      <w:r>
        <w:rPr/>
        <w:t>В сравнение с европейските страни равнището на показателите за раждаемостта в България продължава да е по-ниско. През последните десетилетия и в тези страни се наблюдава тенденция на намаляване на раждаемостта, но тя е стабилизирана на равнището от 10%</w:t>
      </w:r>
      <w:r>
        <w:rPr>
          <w:vertAlign w:val="subscript"/>
        </w:rPr>
        <w:t>0</w:t>
      </w:r>
      <w:r>
        <w:rPr/>
        <w:t xml:space="preserve"> в Швеция и Швейцария до 12,5%</w:t>
      </w:r>
      <w:r>
        <w:rPr>
          <w:vertAlign w:val="subscript"/>
        </w:rPr>
        <w:t>0</w:t>
      </w:r>
      <w:r>
        <w:rPr/>
        <w:t xml:space="preserve"> в Дания, 12,6%</w:t>
      </w:r>
      <w:r>
        <w:rPr>
          <w:vertAlign w:val="subscript"/>
        </w:rPr>
        <w:t>0</w:t>
      </w:r>
      <w:r>
        <w:rPr/>
        <w:t xml:space="preserve"> във Франция и 13,3%</w:t>
      </w:r>
      <w:r>
        <w:rPr>
          <w:vertAlign w:val="subscript"/>
        </w:rPr>
        <w:t>0</w:t>
      </w:r>
      <w:r>
        <w:rPr/>
        <w:t xml:space="preserve"> в Норвегия. С по-ниски стойности на този показател са Австрия – 9,6%</w:t>
      </w:r>
      <w:r>
        <w:rPr>
          <w:vertAlign w:val="subscript"/>
        </w:rPr>
        <w:t>0</w:t>
      </w:r>
      <w:r>
        <w:rPr/>
        <w:t xml:space="preserve"> и Германия – 9,3%</w:t>
      </w:r>
      <w:r>
        <w:rPr>
          <w:vertAlign w:val="subscript"/>
        </w:rPr>
        <w:t>0</w:t>
      </w:r>
      <w:r>
        <w:rPr/>
        <w:t>.</w:t>
      </w:r>
    </w:p>
    <w:p>
      <w:pPr>
        <w:pStyle w:val="NormalText"/>
        <w:rPr/>
      </w:pPr>
      <w:r>
        <w:rPr/>
        <w:t>Тенденцията за намаляване на раждаемостта е свързана с негативното влияние на редица социални и икономически (ниските доходи, безработица), демографски (високата миграция на млади хора), здравни и други фактори.</w:t>
      </w:r>
    </w:p>
    <w:p>
      <w:pPr>
        <w:pStyle w:val="NormalText"/>
        <w:rPr/>
      </w:pPr>
      <w:r>
        <w:rPr/>
        <w:t xml:space="preserve">Другият показател е </w:t>
      </w:r>
      <w:r>
        <w:rPr>
          <w:b/>
        </w:rPr>
        <w:t xml:space="preserve">смъртността. </w:t>
      </w:r>
      <w:r>
        <w:rPr/>
        <w:t>През 2000 г. в България са умрели 115 087 души, или коефициентът на обща смъртност (брой умрели лица на 1000 души от средногодишния брой на населението) е 14,1 %</w:t>
      </w:r>
      <w:r>
        <w:rPr>
          <w:vertAlign w:val="subscript"/>
        </w:rPr>
        <w:t xml:space="preserve">0. </w:t>
      </w:r>
      <w:r>
        <w:rPr/>
        <w:t xml:space="preserve"> При неговото проследяване през ХХ век се наблюдава, че той намалява до 1958 – 64 г. През годините 1958, 1961, 1964 спада до 7,9%</w:t>
      </w:r>
      <w:r>
        <w:rPr>
          <w:vertAlign w:val="subscript"/>
        </w:rPr>
        <w:t>0</w:t>
      </w:r>
      <w:r>
        <w:rPr/>
        <w:t>, с които показатели България се нарежда сред страните с най-висока продължителността на живот. След това започва непрестанно увеличаване, продължаващо и до сега. През последното десетилетие най-висока е била смъртността през 1997 г. – 14,7%</w:t>
      </w:r>
      <w:r>
        <w:rPr>
          <w:vertAlign w:val="subscript"/>
        </w:rPr>
        <w:t>0</w:t>
      </w:r>
      <w:r>
        <w:rPr/>
        <w:t>.</w:t>
      </w:r>
    </w:p>
    <w:p>
      <w:pPr>
        <w:pStyle w:val="NormalText"/>
        <w:rPr/>
      </w:pPr>
      <w:r>
        <w:rPr/>
        <w:t>В сравнение с европейските страни в България смъртността сред населението е значително по-висока. Общо за страните членки на ЕС равнището на смъртността варира в границите между 8,8%</w:t>
      </w:r>
      <w:r>
        <w:rPr>
          <w:vertAlign w:val="subscript"/>
        </w:rPr>
        <w:t>0</w:t>
      </w:r>
      <w:r>
        <w:rPr/>
        <w:t xml:space="preserve"> за Люксембург и Нидерландия до 11,1%</w:t>
      </w:r>
      <w:r>
        <w:rPr>
          <w:vertAlign w:val="subscript"/>
        </w:rPr>
        <w:t>0</w:t>
      </w:r>
      <w:r>
        <w:rPr/>
        <w:t xml:space="preserve"> за Дания.</w:t>
      </w:r>
    </w:p>
    <w:p>
      <w:pPr>
        <w:pStyle w:val="NormalText"/>
        <w:rPr/>
      </w:pPr>
      <w:r>
        <w:rPr/>
        <w:t xml:space="preserve">Резултативна величина на основните демографски процеси – раждаемост и смъртност, е показателят за </w:t>
      </w:r>
      <w:r>
        <w:rPr>
          <w:b/>
        </w:rPr>
        <w:t xml:space="preserve">естествения прираст. </w:t>
      </w:r>
      <w:r>
        <w:rPr/>
        <w:t>Този показател изразява разликата между показателя за раждаемост и показателя за смъртност или разликата между броя на ражданията и броя на умиранията, отнесени към броя на населението.</w:t>
      </w:r>
    </w:p>
    <w:p>
      <w:pPr>
        <w:pStyle w:val="NormalText"/>
        <w:rPr/>
      </w:pPr>
      <w:r>
        <w:rPr/>
        <w:t>Като проследим динамиката на този показател се вижда, че при постоянно и трайно намаляване на раждаемостта и при увеличаване на общата смъртност, показателят естествен прираст също показва тенденция за трайно и устойчиво намаляване. От 1990 г. естественият прираст има отрицателни стойности. Умиранията са повече от ражданията. Най-критична и 1997 г., когато раждаемостта е 7,7%</w:t>
      </w:r>
      <w:r>
        <w:rPr>
          <w:vertAlign w:val="subscript"/>
        </w:rPr>
        <w:t>0</w:t>
      </w:r>
      <w:r>
        <w:rPr/>
        <w:t>, смъртността за същия период е 14,7%</w:t>
      </w:r>
      <w:r>
        <w:rPr>
          <w:vertAlign w:val="subscript"/>
        </w:rPr>
        <w:t>0</w:t>
      </w:r>
      <w:r>
        <w:rPr/>
        <w:t xml:space="preserve"> на хиляда, а естественият прираст -7,0%</w:t>
      </w:r>
      <w:r>
        <w:rPr>
          <w:vertAlign w:val="subscript"/>
        </w:rPr>
        <w:t>0</w:t>
      </w:r>
      <w:r>
        <w:rPr/>
        <w:t>. За 2000 година има малко подобрение -5,1%</w:t>
      </w:r>
      <w:r>
        <w:rPr>
          <w:vertAlign w:val="subscript"/>
        </w:rPr>
        <w:t>0</w:t>
      </w:r>
      <w:r>
        <w:rPr/>
        <w:t>.</w:t>
      </w:r>
    </w:p>
    <w:p>
      <w:pPr>
        <w:pStyle w:val="NormalText"/>
        <w:rPr/>
      </w:pPr>
      <w:r>
        <w:rPr/>
        <w:t>Независимо от съществуващата тенденция на намаляване на естествения прираст в европейските страни по този показател нашата страна продължава да бъде в негативна позиция. От страните членки на ЕС само Швеция и Германия имат отрицателен естествен прираст, съответно -7,0%</w:t>
      </w:r>
      <w:r>
        <w:rPr>
          <w:vertAlign w:val="subscript"/>
        </w:rPr>
        <w:t>0</w:t>
      </w:r>
      <w:r>
        <w:rPr/>
        <w:t xml:space="preserve"> и -1,0%</w:t>
      </w:r>
      <w:r>
        <w:rPr>
          <w:vertAlign w:val="subscript"/>
        </w:rPr>
        <w:t>0</w:t>
      </w:r>
      <w:r>
        <w:rPr/>
        <w:t>.</w:t>
      </w:r>
    </w:p>
    <w:p>
      <w:pPr>
        <w:pStyle w:val="NormalText"/>
        <w:rPr/>
      </w:pPr>
      <w:r>
        <w:rPr/>
        <w:t>Като се анализират данните за естественото движение на населението и се прави съпоставка с тези от европейските страни, може да се обобщи, че сериозен проблем в наложилата се демографска ситуация у нас е не толкова ниската раждаемост, а поддържаното сравнително високо равнище на смъртността сред населението.</w:t>
      </w:r>
    </w:p>
    <w:p>
      <w:pPr>
        <w:pStyle w:val="NormalText"/>
        <w:rPr/>
      </w:pPr>
      <w:r>
        <w:rPr/>
        <w:t xml:space="preserve">През последния половин век, подобно на редица други страни, в България възникват големи изменения в нозологичната структура на </w:t>
      </w:r>
      <w:r>
        <w:rPr>
          <w:b/>
        </w:rPr>
        <w:t xml:space="preserve">причините за умиранията </w:t>
      </w:r>
      <w:r>
        <w:rPr/>
        <w:t>(фиг.1).</w:t>
      </w:r>
    </w:p>
    <w:p>
      <w:pPr>
        <w:pStyle w:val="NormalText"/>
        <w:rPr/>
      </w:pPr>
      <w:r>
        <w:rPr/>
      </w:r>
    </w:p>
    <w:p>
      <w:pPr>
        <w:pStyle w:val="Figura"/>
        <w:rPr>
          <w:lang w:val="en-US"/>
        </w:rPr>
      </w:pPr>
      <w:r>
        <w:rPr/>
        <w:object w:dxaOrig="8960" w:dyaOrig="6144">
          <v:shape id="ole_rId8" style="width:454.5pt;height:308.25pt" o:ole="">
            <v:imagedata r:id="rId9" o:title=""/>
          </v:shape>
          <o:OLEObject Type="Embed" ProgID="Excel.Sheet.12" ShapeID="ole_rId8" DrawAspect="Content" ObjectID="_383946984" r:id="rId8"/>
        </w:object>
      </w:r>
    </w:p>
    <w:p>
      <w:pPr>
        <w:pStyle w:val="NormalText"/>
        <w:rPr>
          <w:lang w:val="en-US"/>
        </w:rPr>
      </w:pPr>
      <w:r>
        <w:rPr>
          <w:lang w:val="en-US"/>
        </w:rPr>
      </w:r>
    </w:p>
    <w:p>
      <w:pPr>
        <w:pStyle w:val="NormalText"/>
        <w:ind w:hanging="0"/>
        <w:jc w:val="center"/>
        <w:rPr/>
      </w:pPr>
      <w:r>
        <w:rPr/>
        <w:t>Фиг. 1</w:t>
      </w:r>
    </w:p>
    <w:p>
      <w:pPr>
        <w:pStyle w:val="NormalText"/>
        <w:rPr/>
      </w:pPr>
      <w:r>
        <w:rPr/>
      </w:r>
    </w:p>
    <w:p>
      <w:pPr>
        <w:pStyle w:val="NormalText"/>
        <w:rPr/>
      </w:pPr>
      <w:r>
        <w:rPr/>
        <w:t>Рязко намалява смъртността от туберкулоза, седемкратно се понижават останалите заразни и паразитни болести, с 3 до 5 пъти е по-малка честота на пневмонията и хроничната ревматична кардиопатия, а в същото време рязко нараства относителният дял на социално значимите заболявания. Пет от тях – исхемичната болест на сърцето (инфаркт на миокарда), мозъчно-съдовата болест (мозъчен инсулт), злокачествените образувания на вътрешните органи, диабетът и потно-транспортният травматизъм увеличават трикратно своя относителен дял в нозологията на смъртността на градското население от 16 – 18% до 54 – 55%. За последните години този процент нараства и за сърдечно-съдовите заболявания е 66%, а за злокачествените – 13%. Увеличава се и броят на хората, които боледуват от тези заболявания, 947 на всеки 100 000 са болни от сърдечно-съдови заболявания и 191 на 100 000 – от злокачествени новообразувания на вътрешните органи.</w:t>
      </w:r>
    </w:p>
    <w:p>
      <w:pPr>
        <w:pStyle w:val="NormalText"/>
        <w:rPr/>
      </w:pPr>
      <w:r>
        <w:rPr>
          <w:b/>
        </w:rPr>
        <w:t xml:space="preserve">Самооценката на здравето </w:t>
      </w:r>
      <w:r>
        <w:rPr/>
        <w:t>е друг важен показател, по който се съди за здравното състояние на населението. При определяне здравето на хората обикновено оценяват комплексно наличието на заболяване или функционално ограничение, което им пречи при извършване на дейностите в ежедневния живот. Равнището на субективното здраве се анализира чрез показателя “относителен дял на лицата с влошено здраве” т.е. на дела от лицата, определили здравето си като “задоволително, лошо или много лошо”, взети заедно.</w:t>
      </w:r>
    </w:p>
    <w:p>
      <w:pPr>
        <w:pStyle w:val="NormalText"/>
        <w:rPr/>
      </w:pPr>
      <w:r>
        <w:rPr/>
        <w:t>Интерес представляват данните от проведеното изследване на Националния статистически институт (НСИ) през март 2001 г., което обхваща 10 000 души, подбрани чрез случаен подбор в представителна за страната двустепенна гнездова извадка. Данните са получени чрез интервю. Направено е сравнение с месец декември 1996 година, когато за първи път Националният статистически институт провежда такова изследване в България. Тогава в извадката се обхващат 17 523 лица от всички възрасти в 6 000 обикновени домакинства (Национален статистически институт, 2002 ).</w:t>
      </w:r>
    </w:p>
    <w:p>
      <w:pPr>
        <w:pStyle w:val="NormalText"/>
        <w:rPr/>
      </w:pPr>
      <w:r>
        <w:rPr/>
        <w:t>Първият важен резултат от изследването на НСИ е, че през последните 4 години здравето на населението, оценено чрез субективното мнение на анкетираните лица, се е влошило съществено, както при мъжете така и при жените. Относителния дял на мъжете с влошено здраве от 27,8% за 1996 г., нараства на 35,9% през 2001 г. или с 8,1 пункта. С напредването на възрастта, относителният дял на лицата с влошено здраве се увеличава.</w:t>
      </w:r>
    </w:p>
    <w:p>
      <w:pPr>
        <w:pStyle w:val="NormalText"/>
        <w:rPr/>
      </w:pPr>
      <w:r>
        <w:rPr/>
        <w:t>Анкетното проучване на НСИ позволява да се проследи и разпространението на хроничните неинфекциозни заболявания. Диагнозата е поставена от лекар при над 90% от лицата, страдащи от диабет, високо кръвно налягане, инфаркт на миокарда, мозъчен инсулт, злокачествено заболяване, хроничен бронхит и емфизем и др.</w:t>
      </w:r>
    </w:p>
    <w:p>
      <w:pPr>
        <w:pStyle w:val="NormalText"/>
        <w:rPr/>
      </w:pPr>
      <w:r>
        <w:rPr>
          <w:b/>
        </w:rPr>
        <w:t xml:space="preserve">Хипертонията </w:t>
      </w:r>
      <w:r>
        <w:rPr/>
        <w:t>е най-разпространено хронично заболяване, което засяга 18,3 % от мъжете и 24,4 % от жените. Сред болните от хипертония най-много са лицата от възрастовата група 45 – 64 г. – 44,2 %.</w:t>
      </w:r>
    </w:p>
    <w:p>
      <w:pPr>
        <w:pStyle w:val="NormalText"/>
        <w:rPr/>
      </w:pPr>
      <w:r>
        <w:rPr>
          <w:b/>
        </w:rPr>
        <w:t xml:space="preserve">Инфаркт на миокарда </w:t>
      </w:r>
      <w:r>
        <w:rPr/>
        <w:t>са прекарали 2,3 % от анкетираните мъже, докато при жените този дял е 1,2 %. Най-засегнати са хората от възрастовата група 45-64 години. От общия брой на прекаралите инфаркт 42,6% са на възраст 45-64 г. и 37,5% - на възраст 65 – 74 г.</w:t>
      </w:r>
    </w:p>
    <w:p>
      <w:pPr>
        <w:pStyle w:val="NormalText"/>
        <w:rPr/>
      </w:pPr>
      <w:r>
        <w:rPr/>
        <w:t xml:space="preserve">Специален интерес представлява разпространението на </w:t>
      </w:r>
      <w:r>
        <w:rPr>
          <w:b/>
        </w:rPr>
        <w:t xml:space="preserve">мозъчния инсулт </w:t>
      </w:r>
      <w:r>
        <w:rPr/>
        <w:t>поради високата социална значимост на това заболяване у нас. Мозъчен инсулт са прекарали 3,1 % от запитаните мъже през месец март 2001 г. и 2,2 % от жените. Една трета от засегнатите са от възрастовата група 45 – 64 години, обхващаща предимно икономически активни лица.</w:t>
      </w:r>
    </w:p>
    <w:p>
      <w:pPr>
        <w:pStyle w:val="NormalText"/>
        <w:rPr/>
      </w:pPr>
      <w:r>
        <w:rPr/>
        <w:t>Жените страдат от мигрена и често главоболие два пъти повече от мъжете. Сред страдащите от мигрена и често главоболие най-много са лицата от възрастовата група 45 – 64 г. – 37,6 %.</w:t>
      </w:r>
    </w:p>
    <w:p>
      <w:pPr>
        <w:pStyle w:val="NormalText"/>
        <w:rPr/>
      </w:pPr>
      <w:r>
        <w:rPr/>
        <w:t>Продължителните състояния на безпокойство и депресия се срещат по-често сред жените (при 10,1 % от анкетираните), отколкото при мъжете (6,2 %). Най-много сред засегнатите са лицата от възрастовите групи 45 – 64 г. (40,7%) и 25 – 44 г. (26, 6%).</w:t>
      </w:r>
    </w:p>
    <w:p>
      <w:pPr>
        <w:pStyle w:val="NormalText"/>
        <w:rPr/>
      </w:pPr>
      <w:r>
        <w:rPr/>
        <w:t xml:space="preserve">Относителният дял на хората с ниска </w:t>
      </w:r>
      <w:r>
        <w:rPr>
          <w:b/>
        </w:rPr>
        <w:t xml:space="preserve">физическа активност </w:t>
      </w:r>
      <w:r>
        <w:rPr/>
        <w:t>нараства с 4,5 пункта – от 36,6% през 1996 г. на 40,1% през 2001 г. Намаляването на физическата активност сред мъжете е по-съществено, отколкото при жените. Резултатите от изследванията показват, че намалението на физическата активност е по-силно изразено сред градското население, отколкото сред селското.</w:t>
      </w:r>
    </w:p>
    <w:p>
      <w:pPr>
        <w:pStyle w:val="NormalText"/>
        <w:rPr/>
      </w:pPr>
      <w:r>
        <w:rPr/>
        <w:t>През последното десетилетие в европейските страни при анализа на здравното състояние на населението, наред с основния демографски показател “средна продължителност нае живота” все по-често се използва и новият показател “</w:t>
      </w:r>
      <w:r>
        <w:rPr>
          <w:b/>
        </w:rPr>
        <w:t xml:space="preserve">очаквана продължителност на живота в добро здраве”. </w:t>
      </w:r>
      <w:r>
        <w:rPr/>
        <w:t>Този нов индикатор отговаря в най-голяма степен на социалните задачи на съвременното общество – да се добавя живот към годините, а не само години към живота. Очакваната продължителност на живота в добро здраве намалява както при мъжете, така и при жените за всички възрастови групи. При мъжете намалението е най-силно изразено за възрастовите групи 50-54 г., 45-49 г., 35-39 г. – средно с 0,9 години. При жените очакваната продължителност на живота в добро здраве намалява с една година при най-младите възрасти – 25 – 29 г., 20 – 24 г. и 15 – 19 г.</w:t>
      </w:r>
    </w:p>
    <w:p>
      <w:pPr>
        <w:pStyle w:val="NormalText"/>
        <w:rPr/>
      </w:pPr>
      <w:r>
        <w:rPr/>
        <w:t xml:space="preserve">Резултатите от изследванията от 1996 и 2001 г. показват, че </w:t>
      </w:r>
      <w:r>
        <w:rPr>
          <w:b/>
        </w:rPr>
        <w:t>профилактичните дейности</w:t>
      </w:r>
      <w:r>
        <w:rPr/>
        <w:t xml:space="preserve"> се подценяват както от населението, така и от системата на здравеопазването. Само на 15% от населението през 1996 г. е било предложено прилагането на някаква здравна профилактика. </w:t>
      </w:r>
    </w:p>
    <w:p>
      <w:pPr>
        <w:pStyle w:val="NormalText"/>
        <w:rPr/>
      </w:pPr>
      <w:r>
        <w:rPr>
          <w:b/>
        </w:rPr>
        <w:t xml:space="preserve">Обобщеният извод </w:t>
      </w:r>
      <w:r>
        <w:rPr/>
        <w:t>е, че здравното състояние на населението се влошава, понижават се оценките за субективното здраве, очакваната продължителност на живота в добро здраве също намалява. Към това може да се добавят високото равнище на болестност от артериална хипертония и подценената здравна профилактика на това заболяване.</w:t>
      </w:r>
    </w:p>
    <w:p>
      <w:pPr>
        <w:pStyle w:val="Heading4"/>
        <w:rPr/>
      </w:pPr>
      <w:r>
        <w:rPr/>
        <w:t>Кой са основните фактори на риска за здравето?</w:t>
      </w:r>
    </w:p>
    <w:p>
      <w:pPr>
        <w:pStyle w:val="NormalText"/>
        <w:rPr/>
      </w:pPr>
      <w:r>
        <w:rPr/>
        <w:t>Изследванията през последните десетилетия в световен мащаб и у нас показват, че болестите, от които населението умира най-често, са свързани с фактори на риска, а те в голяма си част са поведенчески, биологични и фактори на околната среда. В резултат на тяхното действие възникват голяма част от заболяванията. Липсва ясна и общоприета класификация за същността и ролята на факторите, за тяхното взаимодействие с причините за възникване на заболяванията.</w:t>
      </w:r>
    </w:p>
    <w:p>
      <w:pPr>
        <w:pStyle w:val="NormalText"/>
        <w:rPr/>
      </w:pPr>
      <w:r>
        <w:rPr/>
        <w:t>Един обобщен анализ на данните от проучвания в редица страни (САЩ, Англия, Франция, Русия и др.) показва, че главният фактор на риска за здравето е начинът на живот. Относителната му тежест, изразена в проценти е 50%. Природната среда оказва влияние 20%, генетичните фактори – 20% и само 10% е влиянието на медицинското обслужване.</w:t>
      </w:r>
    </w:p>
    <w:p>
      <w:pPr>
        <w:pStyle w:val="NormalText"/>
        <w:rPr/>
      </w:pPr>
      <w:r>
        <w:rPr/>
        <w:t>Това дава основание да се твърди, че повечето усилия за здравно благополучие трябва да бъдат насочени към подобряване на условията за живот, като от една страна се преодоляват негативните здравни фактори (т.н. рискови фактори), а от друга се използват и позитивните фактори (т.н. саногенни).</w:t>
      </w:r>
    </w:p>
    <w:p>
      <w:pPr>
        <w:pStyle w:val="NormalText"/>
        <w:rPr/>
      </w:pPr>
      <w:r>
        <w:rPr/>
        <w:t xml:space="preserve">За </w:t>
      </w:r>
      <w:r>
        <w:rPr>
          <w:b/>
        </w:rPr>
        <w:t xml:space="preserve">нерационалното хранене </w:t>
      </w:r>
      <w:r>
        <w:rPr/>
        <w:t>има неопровержими доказателства, че хранителните фактори са свързани с риска за исхемичната болест на сърцето, мозъчната съдова болест, някои видове рак, хипертонията и диабета. А тези болести са едни от най-често срещаните причини за смъртта на населението в България.</w:t>
      </w:r>
    </w:p>
    <w:p>
      <w:pPr>
        <w:pStyle w:val="NormalText"/>
        <w:rPr/>
      </w:pPr>
      <w:r>
        <w:rPr/>
        <w:t>Изследванията у нас за храненето на различните групи от населението, показват, че то е дебалансирано. Висока е консумацията на мазнини – те дават от 33 до 49% от енергийния баланс при препоръчване 30%. Висок е приемът на готварска сол с храната – около 15 гр. дневно, при норма до 6 – 7 грама. Има проучвания, че ограничаване консумацията на сол до 3 гр., ще обуслови намаляването на смъртността от исхемична болест на сърцето и мозъчно съдова болест съответно с 15-16% и 22-26%. Недостатъчна е консумацията на пресни плодове и зеленчуци (консумират се около 50 – 60% от препоръчаните количества). При консумацията на хляб сме на първо място в Европа с 230 кг. хляб на човек. Пълнозърнестият хляб не е в предпочитанията на българина. Причините са различни: традициите, недостатъчните знания на населението в областта на храненето и избора на храни, ниските доходи, неправилната ценова политика и др. През последните години дисбалансът на храненето се задълбочава. Хората се хранят с това, което могат да си позволят в условията на криза.</w:t>
      </w:r>
    </w:p>
    <w:p>
      <w:pPr>
        <w:pStyle w:val="NormalText"/>
        <w:rPr/>
      </w:pPr>
      <w:r>
        <w:rPr/>
        <w:t xml:space="preserve">В резултат на неправилното хранене е широко разпространено и </w:t>
      </w:r>
      <w:r>
        <w:rPr>
          <w:b/>
        </w:rPr>
        <w:t xml:space="preserve">затлъстяването. </w:t>
      </w:r>
      <w:r>
        <w:rPr/>
        <w:t>То води до намалена продължителност на живота поради увеличаване на риска от исхемична болест на сърцето, мозъчно съдова болест, хипертония, диабет, някои видове рак и др. С увеличаване на телесната маса рискът за смъртност нараства и при двата пола по-силно до 50 годишна възраст, но се проследява и до 80 годишна възраст.</w:t>
      </w:r>
    </w:p>
    <w:p>
      <w:pPr>
        <w:pStyle w:val="NormalText"/>
        <w:rPr/>
      </w:pPr>
      <w:r>
        <w:rPr/>
        <w:t>Според изследванията на много автори, повече от половината възрастно население в България е с наднормено тегло. Затлъстяването сред българския народ е придобило епидемичен характер.</w:t>
      </w:r>
    </w:p>
    <w:p>
      <w:pPr>
        <w:pStyle w:val="NormalText"/>
        <w:rPr/>
      </w:pPr>
      <w:r>
        <w:rPr/>
        <w:t>В сравнение със страни като Чехия, Финландия, Холандия, Италия и Русия, по честота на наднорменото тегло (ИТМ 27≥ кг/м</w:t>
      </w:r>
      <w:r>
        <w:rPr>
          <w:vertAlign w:val="superscript"/>
        </w:rPr>
        <w:t>2</w:t>
      </w:r>
      <w:r>
        <w:rPr/>
        <w:t>) сред населението във възрастовата група от 15 до 75 г., България се намира на второ-трето място. За да бъде нацията ни здрава и работоспособна, броят на хората с наднормено тегло трябва да бъде намален, чрез промяна на навиците на хранене и увеличаване на двигателната активност. Трябва да се промени политиката на обществото в тази насока.</w:t>
      </w:r>
    </w:p>
    <w:p>
      <w:pPr>
        <w:pStyle w:val="NormalText"/>
        <w:rPr/>
      </w:pPr>
      <w:r>
        <w:rPr>
          <w:b/>
        </w:rPr>
        <w:t xml:space="preserve">Двигателният инактивитет </w:t>
      </w:r>
      <w:r>
        <w:rPr/>
        <w:t>увеличава интензивността на умиранията 2,5 – 4 пъти. Съществуват множество изследвания, които показват, че активният двигателен режим е ефективно, достъпно, приемливо и безопасно средство за подобряване на здравето. Физическите упражнения повишават продължителността на живота, намаляват риска от исхемичната болест на сърцето и мозъчно съдова болест, съдействат за снижаване на хипертонията, за поддържане на нормално тегло, имат значение за профилактиката на рака на дебелото черво и на простатата. Системната двигателна активност, наред с другите благоприятни въздействия, понижава серумния холестерол и липопротеините с ниска плътност (“лош” холестерол), а повишава липопротеините с висока плътност (“добър” холестерол), данни, подкрепящи тезата за нейния антиатерогенен афект.</w:t>
      </w:r>
    </w:p>
    <w:p>
      <w:pPr>
        <w:pStyle w:val="NormalText"/>
        <w:rPr/>
      </w:pPr>
      <w:r>
        <w:rPr/>
        <w:t>Протективният здравен ефект на активния двигателен режим е проучен много подробно. При лицата, които системно практикуват физически упражнения е намалена консумацията на тютюневи изделия, алкохолни напитки и обилното количество храна, а се констатира повишена стресоустойчивост, подобряване на настроението и др.</w:t>
      </w:r>
    </w:p>
    <w:p>
      <w:pPr>
        <w:pStyle w:val="NormalText"/>
        <w:rPr/>
      </w:pPr>
      <w:r>
        <w:rPr/>
        <w:t>Мнозина изследователи с тревога отбелязват непрестанното влошаване на показателите за физическа дееспособност на българския народ. Ниската двигателна активност в голям процент от случаите се съчетава с хипертония, затлъстяване, повишен серумен холестерол, тютюнопушене и др.</w:t>
      </w:r>
    </w:p>
    <w:p>
      <w:pPr>
        <w:pStyle w:val="NormalText"/>
        <w:rPr/>
      </w:pPr>
      <w:r>
        <w:rPr>
          <w:b/>
        </w:rPr>
        <w:t xml:space="preserve">Тютюнопушенето </w:t>
      </w:r>
      <w:r>
        <w:rPr/>
        <w:t>е най-важната причина за възникване на заболяване и смърт от около 20 болести: сърдечносъдови, ракови и др. Според Световната здравна организация годишно в света умират 1,8 – 2,5 милиона души от болести, свързани с тютюнопушенето. Няма друг поведенчески фактор, за който да има такова единодушие сред учените за неблагоприятните здравни последици.</w:t>
      </w:r>
    </w:p>
    <w:p>
      <w:pPr>
        <w:pStyle w:val="NormalText"/>
        <w:rPr/>
      </w:pPr>
      <w:r>
        <w:rPr/>
        <w:t xml:space="preserve">Тютюнопушенето е основен рисков фактор на сърдечно-съдовите заболявания. Атеросклерозата има директна корелация с продължителността и интензитета на нездравословната привичка. От 20 до 30 процента от всички смъртни случаи вследствие на исхемична болест на сърцето имат връзка с тютюнопушенето. Сред пушачите рискът от мозъчен инсулт е увеличен 2 – 4 пъти. Приема се, че едно от най-опасните усложнения на тютюнопушенето е ракът на бронхите. Увреждат се и други органи и системи, като сърдечно-съдовата система, нарушение върху сърдечно-съдовия ритъм, възпалителни процеси по венците и лигавиците на устата, нарушава се емайла на зъбите. Тежко протичат и някои ендокринни заболявания при пушачи </w:t>
      </w:r>
      <w:r>
        <w:rPr>
          <w:i/>
        </w:rPr>
        <w:t>(</w:t>
      </w:r>
      <w:r>
        <w:rPr>
          <w:b/>
          <w:i/>
        </w:rPr>
        <w:t>диабет, базедова болест</w:t>
      </w:r>
      <w:r>
        <w:rPr>
          <w:i/>
        </w:rPr>
        <w:t>).</w:t>
      </w:r>
      <w:r>
        <w:rPr/>
        <w:t xml:space="preserve"> Тютюнопушенето пък в съчетание с консумацията на алкохол довежда до нарастване честота на сърдечно-содовите, раковите, белодробните, храносмилателните и други заболявания.</w:t>
      </w:r>
    </w:p>
    <w:p>
      <w:pPr>
        <w:pStyle w:val="NormalText"/>
        <w:rPr/>
      </w:pPr>
      <w:r>
        <w:rPr/>
        <w:t>Проблемът се усложнява от това, че никотинът оказва ефект и върху нервната система. В структурите на крайния мозък той има и възбуждащ ефект, поради което запазва висока работоспособност, особено при състояние на стрес, намалява страховата напрегнатост. Създава се силна зависимост, която само около 20% от пушачите могат да преодолеят.</w:t>
      </w:r>
    </w:p>
    <w:p>
      <w:pPr>
        <w:pStyle w:val="NormalText"/>
        <w:rPr/>
      </w:pPr>
      <w:r>
        <w:rPr/>
        <w:t>В България тютюнопушенето е също един от важните фактори на риска за здравето. По експертна оценка, около 20% от всички смъртни случаи в страната имат пряка или косвена връзка с тютюнопушенето.</w:t>
      </w:r>
    </w:p>
    <w:p>
      <w:pPr>
        <w:pStyle w:val="NormalText"/>
        <w:rPr/>
      </w:pPr>
      <w:r>
        <w:rPr/>
        <w:t>Докато в развитите западноевропейски страни и САЩ се наблюдава тенденция за намаляване на тютюнопушенето, то България заема трето място в световната ранг листа по консумация на тютюневи изделия (след Куба и Северна Корея) и на първо място в Европа, като потреблението нараства непрекъснато. При тази международна съпоставка, наред с всичко друго, трябва да се има предвид нещо много съществено – цигарите, консумирани в България, се характеризират с високо съдържание на катрани и никотин, затова хроничната интоксикация на нашето население е много по-висока.</w:t>
      </w:r>
    </w:p>
    <w:p>
      <w:pPr>
        <w:pStyle w:val="NormalText"/>
        <w:rPr/>
      </w:pPr>
      <w:r>
        <w:rPr/>
        <w:t>Относителният дял на пушачите мъже през 1996 г. е 49% и не се е променил много в сравнение с 1986 г., но остава един от високите в Европа. Намалява възрастта на пропушване. Мъжете започват да пушат по-рано от жените и са интензивни, а значителен брой от тях и свръхинтензивни пушачи. При жените в сравнение с 1986 г. честота на пушенето нараства 2 – 3 пъти и през 1996 г. е 23,8%. Жените са предимно умерени пушачки. Според някои автори тютюнопушенето е една от най-важните причини за влошаване здравето на българския народ и за нарастване на умиранията, особено в зряла възраст.</w:t>
      </w:r>
    </w:p>
    <w:p>
      <w:pPr>
        <w:pStyle w:val="NormalText"/>
        <w:rPr/>
      </w:pPr>
      <w:r>
        <w:rPr>
          <w:b/>
        </w:rPr>
        <w:t xml:space="preserve">Злоупотребата с алкохол </w:t>
      </w:r>
      <w:r>
        <w:rPr/>
        <w:t>е другият фактор, водещ към риск за здравето. Съществува зависимост между количеството на алкохолната консумация и възникването на редица заболявания като: рак на черния дроб, на устната кухина, фаринкса, ларинкса, хранопровода. Многогодишни и широкомащабни епидемиологични изследвания показват, че системната употреба на алкохолни напитки е рисков фактор за артериалната хипертония. Освен това днес е установено, че системната алкохолна консумация е един от съществените рискови фактори за мозъчно-съдова болест (мозъчен инсулт). Много често алкохолната консумация се свързва с прехранване и затлъстяване, прекомерна употреба на сол, тютюнопушенето, което увеличава риска за здравето неколкократно.</w:t>
      </w:r>
    </w:p>
    <w:p>
      <w:pPr>
        <w:pStyle w:val="NormalText"/>
        <w:rPr/>
      </w:pPr>
      <w:r>
        <w:rPr/>
        <w:t>Умерената алкохолна консумация според някои изследвания намалява риска от исхемичната болест на сърцето, според други – не. Днес въпросът за взаимоотношенията между алкохолната консумация и исхемичната болест на сърцето е един от най-конфликтните пунктове в концепцията за рисковите фактори.</w:t>
      </w:r>
    </w:p>
    <w:p>
      <w:pPr>
        <w:pStyle w:val="NormalText"/>
        <w:rPr/>
      </w:pPr>
      <w:r>
        <w:rPr/>
        <w:t>Употребата на алкохол в България е широко разпространено и се увеличава. За периода 1952 – 1990 г. консумацията на вина и ракии е увеличена от 4,52 до 14,02 литра. Над 80% от населението редовно консумира алкохол, като повече от една четвърт от мъжете и 2,3% от жените употребяват над 50 мл. Алкохолни единици еквивалентни на 125 гр. концентрат. Това количество е опасно за здравето. Епидемиологични проучвания установяват, че системната алкохолна консумация се среща по-често сред хипертониците, затлъстелите и лицата с увеличен холестерол.</w:t>
      </w:r>
    </w:p>
    <w:p>
      <w:pPr>
        <w:pStyle w:val="NormalText"/>
        <w:rPr/>
      </w:pPr>
      <w:r>
        <w:rPr/>
        <w:t>Сред редовните консуматори на алкохолни напитки е по-голямо разпространението на тютюнопушенето, повишената консумация на сол, влошената емоционална реактивност и сериозни психотравмени изживявания. В пряка връзка с алкохолната консумация в България умират болните от цироза. Алкохолът има и косвено значение като причина за смъртта на хората, с това че допринася за най-широко разпространение на затлъстяването, артериалната хипертония и мозъчно- съдовата болест. Загиналите при пътно-транспортни произшествия, убийствата и самоубийствата също имат връзка с алкохолната консумация, обикновено се извършват от хора в нетрезво състояние.</w:t>
      </w:r>
    </w:p>
    <w:p>
      <w:pPr>
        <w:pStyle w:val="NormalText"/>
        <w:rPr/>
      </w:pPr>
      <w:r>
        <w:rPr/>
        <w:t xml:space="preserve">Редица изследвания показват участието на </w:t>
      </w:r>
      <w:r>
        <w:rPr>
          <w:b/>
        </w:rPr>
        <w:t xml:space="preserve">психосоциалния стрес </w:t>
      </w:r>
      <w:r>
        <w:rPr/>
        <w:t>в етиопатогенезата на социално значимите заболявания: артериална хипертония, атеросклероза, исхемична болест на сърцето, внезапна сърдечна смърт, диабет, астма и редица психосоматични заболявания.</w:t>
      </w:r>
    </w:p>
    <w:p>
      <w:pPr>
        <w:pStyle w:val="NormalText"/>
        <w:rPr/>
      </w:pPr>
      <w:r>
        <w:rPr/>
        <w:t>От началото на 90-те години стресът навлезе широко в живота на българина. Динамичните социално-икономически промени пораждат редица негативни психосоциални фактори като безработица, престъпност, социално разслоение в обществото. Разминаването на желаното с постигнатото се увеличава и това предизвиква редица отклонения в здравословното състояние. Психосоциалният дистрес е един от подробно изучените рискови фактори сред нашето население.</w:t>
      </w:r>
    </w:p>
    <w:p>
      <w:pPr>
        <w:pStyle w:val="NormalText"/>
        <w:rPr/>
      </w:pPr>
      <w:r>
        <w:rPr/>
        <w:t>Психосоциалният дистрес е твърде сериозен, труден за повлияване и едновременно с това той представлява един от масовите нездравословни фактори сред българското население. Дължи се на това, че стрес се появява не само при наличие на стресогенни фактори, но и при отсъствие на условия за задоволяване на биологични или психосоциални нужди. Стресогенен фактор е и липсата на информация, което създава несигурност и непредвидимост дали ще се достигне до положителен, или ще се избегне негативен резултат.</w:t>
      </w:r>
    </w:p>
    <w:p>
      <w:pPr>
        <w:pStyle w:val="NormalText"/>
        <w:rPr/>
      </w:pPr>
      <w:r>
        <w:rPr/>
        <w:t>За съжаление голяма част от хората в България нямат съответните умения за справяне със стреса и това трябва да бъде своевременно коригирано, като се започне от най-ранна възраст.</w:t>
      </w:r>
    </w:p>
    <w:p>
      <w:pPr>
        <w:pStyle w:val="NormalText"/>
        <w:rPr/>
      </w:pPr>
      <w:r>
        <w:rPr/>
        <w:t>Начинът на живот и поведенческите фактори имат най-голямо значение за здравето на човека. Влияние оказват и биологичните (генетични) фактори и факторите на околната среда. Въздухът, водата, почвата, се насищат със замърсители, шумът се увеличава. Достига се до нарушения във функциите на организма.</w:t>
      </w:r>
    </w:p>
    <w:p>
      <w:pPr>
        <w:pStyle w:val="NormalText"/>
        <w:rPr/>
      </w:pPr>
      <w:r>
        <w:rPr/>
        <w:t>В резултат на анализирането на факторите на риска за здравето може да се направи извод, че България е сред страните с най-голям процент на затлъстели, и с най-малък процент спортуващи. Високата  консумация на сол и хляб, европейското лидерство по тютюнопушене, първите места по алкохолна консумация, са главната причина за кризата в здравното състояние на българския народ. Особено опасно е комбинирането на няколко рискови нездравословни фактори.</w:t>
      </w:r>
    </w:p>
    <w:p>
      <w:pPr>
        <w:pStyle w:val="Heading4"/>
        <w:rPr/>
      </w:pPr>
      <w:r>
        <w:rPr/>
        <w:t>Кои са най-важните подходи за решаване на здравните проблеми на населението?</w:t>
      </w:r>
    </w:p>
    <w:p>
      <w:pPr>
        <w:pStyle w:val="NormalText"/>
        <w:rPr/>
      </w:pPr>
      <w:r>
        <w:rPr/>
        <w:t>Анализът на здравното състояние на населението и на здравните рискови фактори позволява да се определят главните подходи за решаване здравните проблеми на нацията.</w:t>
      </w:r>
    </w:p>
    <w:p>
      <w:pPr>
        <w:pStyle w:val="NormalText"/>
        <w:rPr/>
      </w:pPr>
      <w:r>
        <w:rPr/>
        <w:t>Както вече се посочи, високата смъртност е обусловена от нездравословния начин на живот и от неумението за преодоляване на рискови фактори.</w:t>
      </w:r>
    </w:p>
    <w:p>
      <w:pPr>
        <w:pStyle w:val="NormalText"/>
        <w:rPr/>
      </w:pPr>
      <w:r>
        <w:rPr/>
        <w:t>По какъв начин могат да се променят ориентациите в положителна посока? Какви са подходите за решаването на проблема?</w:t>
      </w:r>
    </w:p>
    <w:p>
      <w:pPr>
        <w:pStyle w:val="NormalText"/>
        <w:rPr/>
      </w:pPr>
      <w:r>
        <w:rPr/>
        <w:t xml:space="preserve">Очевидно е,  че независимо от прогреса на медицинските технологии, основните движещи сили на общественото здраве в неговата цялост си остават начинът на живот и факторите на околната среда. Следователно свеждането на всички усилия за здравно благополучие единствено до подобряване на медицинското обслужване, ще бъде едностранчиво и неефективно. Такъв подход се означава като </w:t>
      </w:r>
      <w:r>
        <w:rPr>
          <w:b/>
        </w:rPr>
        <w:t xml:space="preserve">медицински детерминизъм. </w:t>
      </w:r>
      <w:r>
        <w:rPr/>
        <w:t xml:space="preserve">В модерните стратегии за промоция на здравето, медицинският детерминизъм се замества от един по-широк </w:t>
      </w:r>
      <w:r>
        <w:rPr>
          <w:b/>
        </w:rPr>
        <w:t xml:space="preserve">подход: интегралният подход </w:t>
      </w:r>
      <w:r>
        <w:rPr/>
        <w:t>за опазване и укрепване на здравето. Този подход се основава на глобалната стратегия на Световната здравна организация “Здраве за всички”. Той отразява схващането за многофакторната детерминираност на човешкото здраве. Интегралният подход за решаване на здравните проблеми означава, че успоредно със специфично медицинските средства и методи трябва широко и приоритетно да се използуват немедицински средства за укрепване на здравето (социални, икономически, културни, психологически, педагогически, етични, естетични, комуникационни, информационни, организационни и др.).</w:t>
      </w:r>
    </w:p>
    <w:p>
      <w:pPr>
        <w:pStyle w:val="NormalText"/>
        <w:rPr/>
      </w:pPr>
      <w:r>
        <w:rPr/>
        <w:t xml:space="preserve">При решаване здравните проблеми на населението може да се наблюдават и други два противопоставящи се подхода – пасивен или активен. Традиционният е </w:t>
      </w:r>
      <w:r>
        <w:rPr>
          <w:b/>
        </w:rPr>
        <w:t xml:space="preserve">пасивният, </w:t>
      </w:r>
      <w:r>
        <w:rPr/>
        <w:t xml:space="preserve">очаквателният, насочен към борба с вече възникнали или напреднали заболявания, а не към тяхното преодоляване. При този подход отделният човек няма активно отношение към грижата за собственото здраве, предоставя този проблем в ръцете на лекаря. </w:t>
      </w:r>
      <w:r>
        <w:rPr>
          <w:b/>
        </w:rPr>
        <w:t xml:space="preserve">Активният </w:t>
      </w:r>
      <w:r>
        <w:rPr/>
        <w:t>подход към здравните проблеми е ориентиран, от една страна, към търсене и преодоляване на негативните здравни фактори (т.нар. рискови фактори), а от друга страна, към рационалното използване на позитивни фактори (т.нар. саногенни фактори). Основната предпоставка за активен подход е наличието на адекватна здравна култура и здравна самомотивация у населението. От обект на медицинските дейности, човек се превръща в субект на грижата за собственото си здраве.</w:t>
      </w:r>
    </w:p>
    <w:p>
      <w:pPr>
        <w:pStyle w:val="NormalText"/>
        <w:rPr/>
      </w:pPr>
      <w:r>
        <w:rPr/>
        <w:t xml:space="preserve">Решаването на здравните проблеми на населението може да стане от гледна точка на клиничния или на профилактичния подход. </w:t>
      </w:r>
      <w:r>
        <w:rPr>
          <w:b/>
        </w:rPr>
        <w:t xml:space="preserve">Клиничният подход </w:t>
      </w:r>
      <w:r>
        <w:rPr/>
        <w:t xml:space="preserve">е ориентиран към диагноза и лечение на проявеното заболяване у отделния човек. </w:t>
      </w:r>
      <w:r>
        <w:rPr>
          <w:b/>
        </w:rPr>
        <w:t xml:space="preserve">Профилактичният подход </w:t>
      </w:r>
      <w:r>
        <w:rPr/>
        <w:t>е ориентиран към предотвратяването на заболяванията както е отделния човек, така и сред цялото население. Затова профилактичният подход в дълбоката си същност е социално-профилактичен.</w:t>
      </w:r>
    </w:p>
    <w:p>
      <w:pPr>
        <w:pStyle w:val="NormalText"/>
        <w:rPr/>
      </w:pPr>
      <w:r>
        <w:rPr/>
        <w:t>Профилактичният подход има решаващо значение за създаването на ефективни здравеопазни програми както на локално, така и на национално, и международно ниво. Пример за това са многобройните програми на СЗО от последните четири десетилетия.</w:t>
      </w:r>
    </w:p>
    <w:p>
      <w:pPr>
        <w:pStyle w:val="NormalText"/>
        <w:rPr/>
      </w:pPr>
      <w:r>
        <w:rPr/>
        <w:t>Активният и профилактичният подходи са поведенчески. Те са ориентирани към повишаване на здравната култура и формиране на здравословен стил на живот на отделната личност, на семейството, на социалната група.</w:t>
      </w:r>
    </w:p>
    <w:p>
      <w:pPr>
        <w:pStyle w:val="NormalText"/>
        <w:rPr/>
      </w:pPr>
      <w:r>
        <w:rPr/>
        <w:t>Всеки един  от изброените подходи има определено място и значение в общата дейност по укрепване на здравето на населението и особено на хората от третата възраст. От гледна точка на промоцията на здраве трябва да се подчертае приоритетът на интегралния подход пред медицинския детерминизъм, на активния пред пасивния подход, на профилактичния пред клиничния подход. Върху тази изходна концепция все повече страни в света преоценяват и преориентират приоритетите на своята национална социално-здравна политика. Опитът обаче на всяка една страна е различен. Едно може да се прави в Англия, Франция и Германия, друго – в страните на Източна и Южна Европа.</w:t>
      </w:r>
    </w:p>
    <w:p>
      <w:pPr>
        <w:pStyle w:val="NormalText"/>
        <w:rPr/>
      </w:pPr>
      <w:r>
        <w:rPr/>
        <w:t>За преодоляване на нездравословните фактори и съвременните масови болести в България, при внедряването на новата стратегия на профилактика на болестите и промоцията на здравето, трябва да има широко междусекторно сътрудничество, да участват различни органи, структури и организации:</w:t>
      </w:r>
    </w:p>
    <w:p>
      <w:pPr>
        <w:pStyle w:val="NormalText"/>
        <w:rPr/>
      </w:pPr>
      <w:r>
        <w:rPr/>
        <w:t xml:space="preserve">На първо място това е </w:t>
      </w:r>
      <w:r>
        <w:rPr>
          <w:b/>
        </w:rPr>
        <w:t xml:space="preserve">законодателната власт. </w:t>
      </w:r>
      <w:r>
        <w:rPr/>
        <w:t>Тя трябва да създаде правния фундамент на съвременната здравна доктрина.</w:t>
      </w:r>
    </w:p>
    <w:p>
      <w:pPr>
        <w:pStyle w:val="NormalText"/>
        <w:rPr/>
      </w:pPr>
      <w:r>
        <w:rPr/>
        <w:t xml:space="preserve">Изискванията пред </w:t>
      </w:r>
      <w:r>
        <w:rPr>
          <w:b/>
        </w:rPr>
        <w:t xml:space="preserve">изпълнителната власт </w:t>
      </w:r>
      <w:r>
        <w:rPr/>
        <w:t>са още по-големи. Държавните институции трябва да насочват своите усилия за дългогодишните цели на превантивното здравеопазване.</w:t>
      </w:r>
    </w:p>
    <w:p>
      <w:pPr>
        <w:pStyle w:val="NormalText"/>
        <w:rPr/>
      </w:pPr>
      <w:r>
        <w:rPr/>
        <w:t xml:space="preserve">Изключително важна е ролята на </w:t>
      </w:r>
      <w:r>
        <w:rPr>
          <w:b/>
        </w:rPr>
        <w:t xml:space="preserve">обществеността. </w:t>
      </w:r>
    </w:p>
    <w:p>
      <w:pPr>
        <w:pStyle w:val="NormalText"/>
        <w:rPr/>
      </w:pPr>
      <w:r>
        <w:rPr/>
        <w:t xml:space="preserve">Централно място за подобряване на здравната информираност на хората имат </w:t>
      </w:r>
      <w:r>
        <w:rPr>
          <w:b/>
        </w:rPr>
        <w:t>средствата за масова информация</w:t>
      </w:r>
      <w:r>
        <w:rPr/>
        <w:t>.</w:t>
      </w:r>
    </w:p>
    <w:p>
      <w:pPr>
        <w:pStyle w:val="NormalText"/>
        <w:rPr/>
      </w:pPr>
      <w:r>
        <w:rPr>
          <w:b/>
        </w:rPr>
        <w:t>Обществените организации</w:t>
      </w:r>
      <w:r>
        <w:rPr/>
        <w:t xml:space="preserve"> като БЧК, БТС, туристически и спортни фондации и други обществени структури, също могат да играят голяма роля.</w:t>
      </w:r>
    </w:p>
    <w:p>
      <w:pPr>
        <w:pStyle w:val="NormalText"/>
        <w:rPr/>
      </w:pPr>
      <w:r>
        <w:rPr/>
        <w:t xml:space="preserve">Основен двигател и координатор на новата здравна стратегия трябва да е </w:t>
      </w:r>
      <w:r>
        <w:rPr>
          <w:b/>
        </w:rPr>
        <w:t>здравната</w:t>
      </w:r>
      <w:r>
        <w:rPr/>
        <w:t xml:space="preserve"> </w:t>
      </w:r>
      <w:r>
        <w:rPr>
          <w:b/>
        </w:rPr>
        <w:t>система</w:t>
      </w:r>
      <w:r>
        <w:rPr/>
        <w:t xml:space="preserve">. Усилията се пренасочват към модерна превантивна медицина и </w:t>
      </w:r>
      <w:r>
        <w:rPr>
          <w:b/>
        </w:rPr>
        <w:t xml:space="preserve">министерството на здравеопазването </w:t>
      </w:r>
      <w:r>
        <w:rPr/>
        <w:t xml:space="preserve">трябва да е централна държавна институция, ръководеща “здравеопазването”, а не лечението. Здравно-осигурителната каса трябва да заделя средства за профилактика, това ще й спести от средствата за лечение. Ролята на </w:t>
      </w:r>
      <w:r>
        <w:rPr>
          <w:b/>
        </w:rPr>
        <w:t xml:space="preserve">практическото здравеопазване </w:t>
      </w:r>
      <w:r>
        <w:rPr/>
        <w:t>в осъществяването на новата профилактична здравна система е огромна. Без общопрактикуващите лекари и специалисти от болничните, и извънболничните структури е невъзможно реализирането на каквато и да било здравна стратегия. Общопрактикуващият лекар трудно би преминал от биомедицинския модел на традиционната медицина към поведенческия биопсихосоциален модел на профилактична медицина, без за това да има сериозни материални стимули. В здравно-осигурителната система трябва да бъдат предвидени гъвкави механизми, които да стимулират както здравословното поведение на индивида, така и ефективността на профилактичната дейност на лекуващия лекар.</w:t>
      </w:r>
    </w:p>
    <w:p>
      <w:pPr>
        <w:pStyle w:val="NormalText"/>
        <w:rPr/>
      </w:pPr>
      <w:r>
        <w:rPr/>
        <w:t xml:space="preserve">Няма и не може да има успешна борба срещу поведенческите рискови фактори, ако </w:t>
      </w:r>
      <w:r>
        <w:rPr>
          <w:b/>
        </w:rPr>
        <w:t xml:space="preserve">отделният индивид </w:t>
      </w:r>
      <w:r>
        <w:rPr/>
        <w:t>не промени коренно своето отношение към тях. Защото именно отделният индивид решава да пуши или не, да консумира ли алкохолни напитки, какво количество храна да приема, колко солена да е тя, каква да бъде неговата двигателна активност. Оттук произтича изводът за голямата лична отговорност на всеки за собственото здраве – извод, отразен и в призива на СЗО “Вашето здраве във вашите ръце”.</w:t>
      </w:r>
    </w:p>
    <w:p>
      <w:pPr>
        <w:pStyle w:val="NormalText"/>
        <w:rPr/>
      </w:pPr>
      <w:r>
        <w:rPr/>
        <w:t>Необходимо е коренен прелом в отношението на българския народ към няколко сериозни и широко разпространени вредни привички. Основните компоненти на здравословното поведение трябва да бъдат внедрени в бита на огромни контингенти от нашия народ. Повишаването на здравната култура на населението по отношение на основните рискови фактори е първостепенна задача на всяка профилактична програма.</w:t>
      </w:r>
    </w:p>
    <w:p>
      <w:pPr>
        <w:pStyle w:val="NormalText"/>
        <w:rPr/>
      </w:pPr>
      <w:r>
        <w:rPr/>
        <w:t>Промоцията на здравето има надведомствен характер. В това отношение важна роля могат да изиграят различните специализирани здравно профилактични програми.</w:t>
      </w:r>
    </w:p>
    <w:p>
      <w:pPr>
        <w:pStyle w:val="NormalText"/>
        <w:rPr/>
      </w:pPr>
      <w:r>
        <w:rPr/>
        <w:t>Световната здравна организация обединява усилията на всички страни и научните колективи за сътрудничество, влага значителни средства в организирането и провеждането на комплексни целеви програми. България е включена в рамките на европейската Програма СИДНИ от 1984 г. (CIDNI – Интегрирана интервенционна програма за профилактика на хроничните неинфекциозни болести). В тази програма различните страни работят по един и същи начин, но според своите приоритети и специфичните национални особености.</w:t>
      </w:r>
    </w:p>
    <w:p>
      <w:pPr>
        <w:pStyle w:val="NormalText"/>
        <w:rPr/>
      </w:pPr>
      <w:r>
        <w:rPr/>
        <w:t>Стратегическа цел на програмата СИДНИ е да подобри здравето на населението, чрез  редуциране на заболяваемостта и смъртността от най-често срещаните хронични неинфекциозни болести, чрез въздействие върху факторите на риска. Основната характеристика на програмата като теоретична концепция и като практическа дейност е нейната комплексност, интегралност.</w:t>
      </w:r>
    </w:p>
    <w:p>
      <w:pPr>
        <w:pStyle w:val="Heading2"/>
        <w:rPr/>
      </w:pPr>
      <w:bookmarkStart w:id="21" w:name="__RefHeading___Toc89859682"/>
      <w:r>
        <w:rPr/>
        <w:t>5.3. Рационалното хранене   в напреднала и старческа възраст – фактор за пълноценен живот и дълголетие</w:t>
      </w:r>
      <w:bookmarkEnd w:id="21"/>
      <w:r>
        <w:rPr/>
        <w:t xml:space="preserve">  </w:t>
      </w:r>
    </w:p>
    <w:p>
      <w:pPr>
        <w:pStyle w:val="NormalText"/>
        <w:rPr/>
      </w:pPr>
      <w:r>
        <w:rPr>
          <w:b/>
        </w:rPr>
        <w:t>Храненето</w:t>
      </w:r>
      <w:r>
        <w:rPr/>
        <w:t xml:space="preserve"> е една от най-важните общобиологични прояви на живота. Чрез  него се набавят  всички хранителни вещества, необходими за енергия и  градивен материал за всеки организъм. Хранителните вещества влизат в състава на хранителните продукти, които в зависимост от произхода си, биват  растителни и животински. Докато при животните многовековният им опит, предаван във вид на инстинкти, строго определя храните, които различните видове използват, то не може да се каже същото за човека. В своята еволюция той все по-дълбоко прониква в тайните на природата, на заобикалящата го среда и постепенно се превръща в неин владетел и господар на себе си. Това се отнася и за храните – за предпочитанията към едни или други от тях, за начините на тяхното приготвяне, преработване и консумиране. При това особено актуален е проблемът за удачните и неудачните съчетания на храни, за тяхното качество, за термичната им и други видове обработки с оглед отраженията им върху дееспособността, здравето и продължителността на живота на човека. Храненето е необходима предпоставка за обмяната на веществата.  </w:t>
      </w:r>
    </w:p>
    <w:p>
      <w:pPr>
        <w:pStyle w:val="NormalText"/>
        <w:rPr/>
      </w:pPr>
      <w:r>
        <w:rPr>
          <w:b/>
        </w:rPr>
        <w:t>Обмяната на веществата и енергията</w:t>
      </w:r>
      <w:r>
        <w:rPr/>
        <w:t xml:space="preserve"> е съвкупност от физиологични процеси, свързващи организма с външната среда. Усвояването на хранителните вещества от него се извършва на два етапа. </w:t>
      </w:r>
      <w:r>
        <w:rPr>
          <w:b/>
        </w:rPr>
        <w:t>Първият етап</w:t>
      </w:r>
      <w:r>
        <w:rPr/>
        <w:t xml:space="preserve"> е храносмилането, което се осъществява в храносмилателния тракт и представлява разграждане на сложните вещества на храната на по-прости и всмукването им в кръвта. Тя разнася тези вещества до всички клетки, където се извършва </w:t>
      </w:r>
      <w:r>
        <w:rPr>
          <w:b/>
        </w:rPr>
        <w:t>вторият етап</w:t>
      </w:r>
      <w:r>
        <w:rPr/>
        <w:t xml:space="preserve">. Той включва два основни процеса: </w:t>
      </w:r>
      <w:r>
        <w:rPr>
          <w:b/>
        </w:rPr>
        <w:t>асимилация</w:t>
      </w:r>
      <w:r>
        <w:rPr/>
        <w:t xml:space="preserve"> и </w:t>
      </w:r>
      <w:r>
        <w:rPr>
          <w:b/>
        </w:rPr>
        <w:t>дисимилация</w:t>
      </w:r>
      <w:r>
        <w:rPr/>
        <w:t xml:space="preserve">. Асимилацията е усвояване на постъпващите органични и неорганични вещества и образуването от тях на нови клетки и тъкани, специфични за дадения организъм. За този процес е необходима енергия. Дисимилацията е процес на разпадане и окисляване на сложните органични вещества до по-прости, при който се отделя енергия, необходима за функциите на организма и за асимилацията. </w:t>
      </w:r>
    </w:p>
    <w:p>
      <w:pPr>
        <w:pStyle w:val="NormalText"/>
        <w:rPr/>
      </w:pPr>
      <w:r>
        <w:rPr/>
        <w:t xml:space="preserve">При своята дейност организмът непрекъснато изразходва енергия, която се възстановява с адекватна по количество храна и това равновесие се нарича </w:t>
      </w:r>
      <w:r>
        <w:rPr>
          <w:b/>
        </w:rPr>
        <w:t>енергиен баланс</w:t>
      </w:r>
      <w:r>
        <w:rPr/>
        <w:t xml:space="preserve">. Когато с храната се внася по-малко енергия, отколкото организмът изразходва, е налице </w:t>
      </w:r>
      <w:r>
        <w:rPr>
          <w:b/>
        </w:rPr>
        <w:t>отрицателен енергиен баланс</w:t>
      </w:r>
      <w:r>
        <w:rPr/>
        <w:t xml:space="preserve">. Тогава организмът започва да използва резервни вещества, приспособяване се към по-икономично изразходване или прибягва към разграждане на собствените си белтъци за енергия. При белтъчен дефицит процесът на асимилация се затруднява. Когато с храната се внася повече енергия се получава </w:t>
      </w:r>
      <w:r>
        <w:rPr>
          <w:b/>
        </w:rPr>
        <w:t>положителен енергиен</w:t>
      </w:r>
      <w:r>
        <w:rPr/>
        <w:t xml:space="preserve"> </w:t>
      </w:r>
      <w:r>
        <w:rPr>
          <w:b/>
        </w:rPr>
        <w:t>баланс</w:t>
      </w:r>
      <w:r>
        <w:rPr/>
        <w:t xml:space="preserve">. Организмът попълва резервните си депа от гликоген и мазнини, започва да изразходва неикономично енергията, теглото се увеличава и се достига до затлъстяване. </w:t>
      </w:r>
    </w:p>
    <w:p>
      <w:pPr>
        <w:pStyle w:val="NormalText"/>
        <w:rPr/>
      </w:pPr>
      <w:r>
        <w:rPr/>
        <w:t xml:space="preserve">Измерването на изразходваната енергия и енергийната стойност на храната се извършва с една и съща мерна единица – Джаул. На практика се използва килоджаул (KJ). По-старата мерна единица е килокалория (kcal), равна на 4,184 KJ. Нормалното протичане на енергийните процеси се гарантира с внасянето чрез храната на достатъчни количества и в оптимални съотношения на белтъци, мазнини, въглехидрати, витамини и минерални соли. </w:t>
      </w:r>
    </w:p>
    <w:p>
      <w:pPr>
        <w:pStyle w:val="NormalText"/>
        <w:rPr/>
      </w:pPr>
      <w:r>
        <w:rPr>
          <w:b/>
        </w:rPr>
        <w:t>Белтъчините</w:t>
      </w:r>
      <w:r>
        <w:rPr/>
        <w:t xml:space="preserve"> влизат в състава на всяка клетка и са пластичен материал, необходим за изграждането на нови тъкани. Те са важна структурна единица на ензимите, без които клетките не могат да функционират нормално. Изграждат хормоните и другите биологично активни вещества. При нужда  се разграждат и дават енергия, която се отделя при изгарянето им в организма. След водата белтъчините се срещат в най-големи количества в човешкото тяло. Те са сложни органични вещества, в състава на които влизат въглерод, кислород, водород, сяра и азот. Постъпвайки в организма с храната, белтъчините се разграждат в храносмилателния тракт на по-прости вещества – аминокиселини, които се всмукват в кръвта чрез тънките черва и се разнасят в целия организъм. От тези аминокиселини организмът синтезира свойствени за него белтъчини.  В зависимост от съдържащите се в тях аминокиселини по своето значение за организма белтъчините биват повече или по-малко пълноценни. Едни от аминокиселините са незаменими, които организмът не може да синтезира, а други са заменими, т.е, организмът може да ги синтезира, като използва незаменимите. Най-пълноценни са белтъчините от животински произход (месо, риба, яйца, мляко, сирене) и някои продукти от растителен произход (семената на соята и фасула). По-малко пълноценните белтъчини се съдържат в брашното, хляба, картофите и др.  Организмът се нуждае както от животински, така и от растителни белтъчини. Белтъчините не се складират в  запас и не могат да бъдат заменяни с никакви други хранителни вещества. При изобилното им постъпване с храната се нарушава обмяната на веществата, аминокиселините се превръщат във въглехидрати и мазнини, а съдържащият се в тях азот се отделя от организма в състава на урината. Обратното превръщане на въглехидрати и мазнини в белтъчини не се извършва. </w:t>
      </w:r>
    </w:p>
    <w:p>
      <w:pPr>
        <w:pStyle w:val="NormalText"/>
        <w:rPr/>
      </w:pPr>
      <w:r>
        <w:rPr>
          <w:b/>
        </w:rPr>
        <w:t>Мазнините,</w:t>
      </w:r>
      <w:r>
        <w:rPr/>
        <w:t xml:space="preserve"> наричани още </w:t>
      </w:r>
      <w:r>
        <w:rPr>
          <w:b/>
        </w:rPr>
        <w:t>липиди</w:t>
      </w:r>
      <w:r>
        <w:rPr/>
        <w:t xml:space="preserve">, са сложни органични вещества, които организмът използва като градивен материал и източник на енергия. В храносмилателния тракт се разграждат на глицерин и на висши мастни киселини, от които организмът синтезира собствени мазнини. Мазнините могат да се складират за резерв под кожата, в областта на корема, в областта на таза, около бъбреците. В черния дроб и мускулите са важен запасен енергиен материал. Мазнините са ценни хранителни продукти с висока калорийност и добра усвояемост. Най-добре се усвояват мазнините, които имат ниска температура на топене (млечното масло и растителните мазнини). Говеждите и овчите мазнини са трудно усвоими. Растителните мазнини съдържат витамините Е и К, а животинските – А, Е (и D в рибеното масло). Всички мазнини съдържат наситени и ненаситени мастни киселини. В мазнините от животински произход преобладават наситените мастни киселини, а в тези от растителен произход – ненаситените. Последните имат  важно значение за жизнената дейност на организма, като повишават съпротивляемостта му към различни инфекциозни заболявания. Те влизат в съединение с веществото холестерол и препятстват неговото отлагане по вътрешните стени на кръвоносните съдове. Холестеролът е бяло мазно вещество, което участва в структурата на клетките и в производството на важни хормони. Той не се разтваря и за да се транспортира чрез кръвта трябва да се свърже със специални молекули, наречени липопротеини (съставени от мазнини и белтъчини). Различава се т.нар. “лош” холестерол, характерен за липопротеините с ниска плътност, които съдържат повече холестерол и по-малко белтъчини (ЛПНП- LDL). По тази причина твърде често холестеролът се струпва по стените на съдовете, образуват се плаки, които стесняват и дори могат да запушат просвета им. Обратно- липопротеините с висока плътност (ЛПВП-HDL) съдържат повече белтъци и по-малко холестерол. Те “извличат” холестерола от стените на съдовете и го пренасят до черния дроб за преработване. Ето защо HDL-холестеролът обикновено бива наричан “добър”. Когато в кръвта има повече “лош” и по-малко “добър” холестерол, рискът от увреждане на съдовите стени нараства, а това води до заболяването атеросклероза, усложненията на което са хипертонията, мозъчният инсулт и сърдечният инфаркт. Установено е, че наситените мастни киселини и високото равнище на кръвната захар стимулират синтезирането на холестерола и забавят елиминирането му от организма. </w:t>
      </w:r>
    </w:p>
    <w:p>
      <w:pPr>
        <w:pStyle w:val="NormalText"/>
        <w:rPr/>
      </w:pPr>
      <w:r>
        <w:rPr/>
        <w:t xml:space="preserve">Нормалното развитие на организма се нарушава, когато храната съдържа недостатъчно количество мазнини, както  и когато това количество е по-голямо от необходимото. Излишните мазнини в храната нарушават процеса на храносмилане, снижават апетита, задължат отделянето на храносмилателни сокове. Обикновено те се отлагат под кожата и между вътрешните органи, което води до затлъстяване, до влошаване на работата на сърцето, съдовете и другите органи. В организма мазнините могат да се образуват и от въглехидрати, а в някои случаи и от белтъчини. Затова те могат да се натрупват и когато в храната влиза по-голямо количество въглехидрати. При приготвяне на храната се препоръчва да се използват всички видове мазнини, като се отдава предпочитание на мазнините от растителен произход – зехтин, олио, царевично масло. </w:t>
      </w:r>
    </w:p>
    <w:p>
      <w:pPr>
        <w:pStyle w:val="NormalText"/>
        <w:rPr/>
      </w:pPr>
      <w:r>
        <w:rPr>
          <w:b/>
        </w:rPr>
        <w:t xml:space="preserve">Въглехидратите </w:t>
      </w:r>
      <w:r>
        <w:rPr/>
        <w:t xml:space="preserve">са основен източник на енергия за организма. Приети с храната те се използват за поддържане нивото на кръвната захар и за синтез на гликоген в мускулите и черния дроб. От кръвта захарта попада в клетките, където служи за енергиен източник и се разпада на въглероден диоксит и вода. Излишното количество въглехидрати се превръща в мазнини. </w:t>
      </w:r>
    </w:p>
    <w:p>
      <w:pPr>
        <w:pStyle w:val="NormalText"/>
        <w:rPr/>
      </w:pPr>
      <w:r>
        <w:rPr/>
        <w:t xml:space="preserve">Основен източник на въглехидрати са растенията, които ги синтезират посредством процеса на фотосинтеза. От животинските продукти източник на въглехидрати са гликогенът в черния дроб и мускулите, както и млечната захар (лактоза) в млякото.  В зависимост от химическия си състав въглехидратите се подразделят на прости въглехидрати (олигозахариди) и сложни въглехидрати (полизахариди). </w:t>
      </w:r>
    </w:p>
    <w:p>
      <w:pPr>
        <w:pStyle w:val="NormalText"/>
        <w:rPr/>
      </w:pPr>
      <w:r>
        <w:rPr/>
        <w:t>Олигозахарадите бързо се усвояват от организма, имат сладък вкус и се делят на монозахариди (глюкоза – гроздова захар, фруктоза – плодова захар) и дизахариди ( захароза –цвеклова захар, лактоза). Полизахаридите се делят на захароподобни (скорбяла и гликоген) и незахароподобни (целулоза и пектин). Отличават се с твърде сложен строеж и липса на сладък вкус. Типичен представител на сложните въглехидрати е скорбялата. Основен източник на скорбяла са зърнените храни, варивата и картофите. По консумация на хляб България е на първо място в Европа. Много специалисти-диетолози препоръчват консумацията на пълнозърнест хляб – типов, ръжен или “грахам”. Те се произвеждат от по-греби брашна, където скорбялата е по-малко и е запазена голяма част от обвивките на житните растения, които са богати на витамини от групата В.</w:t>
      </w:r>
    </w:p>
    <w:p>
      <w:pPr>
        <w:pStyle w:val="NormalText"/>
        <w:rPr/>
      </w:pPr>
      <w:r>
        <w:rPr>
          <w:b/>
        </w:rPr>
        <w:t xml:space="preserve">Минералните вещества </w:t>
      </w:r>
      <w:r>
        <w:rPr/>
        <w:t xml:space="preserve">също имат много важно жизнено значение. Те влизат в състава на всички тъкани, на много ферменти и хормони, на хемоглобина, на някои аминокиселини. Вземат активно участие  в обменните процеси на организма, в поддържането на алкално-киселинното равновесие и нормалния солеви състав на тялото. Минералните вещества се делят на макроелементи и микроелементи.  Макроелементите калций, фосфор, магнезий участват в изграждането на костната тъкан. Натрият, калият и хлорът  участват в обмяната на веществата. Натрият, калият, калцият и магнезият благоприятстват за предаване на нервните импулси. Важна роля играят и микроелементите желязо, мед, цинк, манган,  йод, флуор, селен и др. Желязото влиза в състава на хемоглобина. Медта участва в биологичното окисление и в обмяната на желязото. Цинкът и манганът участват в синтеза на белтъчините. Йодът е необходим за нормалните функции на щитовидната жлеза. Флуорът участва в изграждането на зъбния емайл и го предпазва от кариес. Селенът засилва устойчивостта на организма към неблагоприятните фактори на околната среда. </w:t>
      </w:r>
    </w:p>
    <w:p>
      <w:pPr>
        <w:pStyle w:val="NormalText"/>
        <w:rPr/>
      </w:pPr>
      <w:r>
        <w:rPr>
          <w:b/>
        </w:rPr>
        <w:t xml:space="preserve">Витамините    </w:t>
      </w:r>
      <w:r>
        <w:rPr/>
        <w:t>са биологично активни вещества, които са необходими в много малки количества, но играят съществена роля в обменните процеси  на организма. Пълното отсъствие на някой витамин може да предизвика болестно състояние авитаминоза и дори хиповитаминоза. Такива състояния могат да се  наблюдават в края на зимата и началото на пролетта. В зависимост от тяхната разтворимост витамините се делят на мастноразтворими (A, D, E, K) и водноратворими (C, B). Витамин С (аскорбинова киселина) има изключително важно значение за много функции на организма. Авитаминозата на витамин С води до заболяване от скорбут. Витамините от групата В (В¹,В²,В³…РР и др.) участват във въглехидратната, белтъчната и обмяната на мазнините. Дневните нужди от витамини при лица в напреднала и старческа възраст (в милиграми) са отразени в таблица № 4 (вж. приложението).</w:t>
      </w:r>
    </w:p>
    <w:p>
      <w:pPr>
        <w:pStyle w:val="NormalText"/>
        <w:rPr/>
      </w:pPr>
      <w:r>
        <w:rPr/>
        <w:t xml:space="preserve">Всеки възрастов период от живота на човека има своите особености на храненето, които се обуславят от структурното и функционалното състояние на организма. Така например при децата и подрастващите храненето е необходимо не само за поддържане на жизнените функции на организма, а и за осигуряване на процесите на растеж и интензивно развитие. В напреднала и старческа възраст  храненето се отличава с редица особености. Те се обуславят преди всичко от промените в организма с развитието на процесите на стареене, с намалената обмяна на веществата, снижената активна двигателна дейност и пр. Съществени изменения настъпват в храносмилателната система, в органите на вкуса и обонянието.  Не без значение са и редица други фактори, като например  битът и начинът на живот на възрастния, неговите индивидуални особености, навици и привички,   икономически възможности, религия и пр. Поради това геродиететиката издига следните основни принципи: </w:t>
      </w:r>
    </w:p>
    <w:p>
      <w:pPr>
        <w:pStyle w:val="Normal"/>
        <w:numPr>
          <w:ilvl w:val="0"/>
          <w:numId w:val="86"/>
        </w:numPr>
        <w:spacing w:lineRule="auto" w:line="240"/>
        <w:rPr/>
      </w:pPr>
      <w:r>
        <w:rPr/>
        <w:t>Енергично балансирано хранене, съобразено с характера на двигателната активност и енергоразхода.</w:t>
      </w:r>
    </w:p>
    <w:p>
      <w:pPr>
        <w:pStyle w:val="Normal"/>
        <w:numPr>
          <w:ilvl w:val="0"/>
          <w:numId w:val="86"/>
        </w:numPr>
        <w:spacing w:lineRule="auto" w:line="240"/>
        <w:rPr/>
      </w:pPr>
      <w:r>
        <w:rPr/>
        <w:t>Максимално разнообразие при балансирано съдържание на основните хранителни вещества.</w:t>
      </w:r>
    </w:p>
    <w:p>
      <w:pPr>
        <w:pStyle w:val="Normal"/>
        <w:numPr>
          <w:ilvl w:val="0"/>
          <w:numId w:val="86"/>
        </w:numPr>
        <w:spacing w:lineRule="auto" w:line="240"/>
        <w:rPr/>
      </w:pPr>
      <w:r>
        <w:rPr/>
        <w:t>Антиатеросклеротична насоченост на хранителния режим.</w:t>
      </w:r>
    </w:p>
    <w:p>
      <w:pPr>
        <w:pStyle w:val="Normal"/>
        <w:numPr>
          <w:ilvl w:val="0"/>
          <w:numId w:val="86"/>
        </w:numPr>
        <w:spacing w:lineRule="auto" w:line="240"/>
        <w:rPr/>
      </w:pPr>
      <w:r>
        <w:rPr/>
        <w:t>Оптимално осигуряване на елементи, стимулиращи ферментните системи.</w:t>
      </w:r>
    </w:p>
    <w:p>
      <w:pPr>
        <w:pStyle w:val="Normal"/>
        <w:numPr>
          <w:ilvl w:val="0"/>
          <w:numId w:val="86"/>
        </w:numPr>
        <w:spacing w:lineRule="auto" w:line="240"/>
        <w:rPr/>
      </w:pPr>
      <w:r>
        <w:rPr/>
        <w:t>Използване на хранителните продукти в кулинарно състояние и технологии, позволяващи бързо въздействие на ферментните системи.</w:t>
      </w:r>
    </w:p>
    <w:p>
      <w:pPr>
        <w:pStyle w:val="Normal"/>
        <w:numPr>
          <w:ilvl w:val="0"/>
          <w:numId w:val="86"/>
        </w:numPr>
        <w:spacing w:lineRule="auto" w:line="240"/>
        <w:rPr/>
      </w:pPr>
      <w:r>
        <w:rPr/>
        <w:t>Снижение на общото калорийно съдържание в дневния хранителен режим в  съответствие с развитието на процесите на стареенето (54,с. 165).</w:t>
      </w:r>
    </w:p>
    <w:p>
      <w:pPr>
        <w:pStyle w:val="Normal"/>
        <w:spacing w:lineRule="auto" w:line="240"/>
        <w:rPr/>
      </w:pPr>
      <w:r>
        <w:rPr/>
        <w:t xml:space="preserve">Джордж </w:t>
      </w:r>
      <w:r>
        <w:rPr>
          <w:b/>
        </w:rPr>
        <w:t>Осава</w:t>
      </w:r>
      <w:r>
        <w:rPr/>
        <w:t xml:space="preserve"> определя съотношението между различните видове храни в зависимост от броя на резците, кучешките зъби и кътниците. Основното предназначение на резците е за плодове и зеленчуци, на кучешките зъби – за месо, а на кътниците – за стриване на зърна. Тъй като кучешките зъби са четири, резците – осем, а кътниците – двадесет, той приема че съотношението между месо – зеленчуци и плодове -  семена и ядки следва да бъде 1:2:5.</w:t>
      </w:r>
    </w:p>
    <w:p>
      <w:pPr>
        <w:pStyle w:val="NormalText"/>
        <w:rPr/>
      </w:pPr>
      <w:r>
        <w:rPr/>
        <w:t xml:space="preserve">При изграждане на дневния хранителен режим на лицата в напреднала и старческа възраст се изтъква необходимостта от пълноценно осигуряване както на калорийните, така и на основните хранителни съставки. Макар че не съществува пълно единство в схващанията на различните автори по въпросите за вида на храната, за състава на хранителните продукти, за режима на храненето (смесено хранене, хранене с преимущество на местна храна или на млечно-зеленчукова храна) основният принцип е, че за възрастните и старите хора не бива да има напълно забранени продукти. Като незаменими и неизбежни обикновено се сочат месото (предимно от млади животни), риба (предимно нетлъста и речна), мазнини, плодове, зеленчуци, млечни продукти, хляб (по възможност ръжен) и  хлебни изделия, плодови сокове. Като правило се ограничава консумацията на яйца, тлъсти меса при пълен отказ на свинско месо и лой. Много важен е въпросът за оптималното дозиране на белтъците и мазнините по количество, произход и състав.   </w:t>
      </w:r>
    </w:p>
    <w:p>
      <w:pPr>
        <w:pStyle w:val="NormalText"/>
        <w:rPr/>
      </w:pPr>
      <w:r>
        <w:rPr/>
        <w:t xml:space="preserve">Въпросът за дневните норми на потребностите от </w:t>
      </w:r>
      <w:r>
        <w:rPr>
          <w:b/>
        </w:rPr>
        <w:t>белтъци</w:t>
      </w:r>
      <w:r>
        <w:rPr/>
        <w:t xml:space="preserve"> в режима на възрастните и старите хора е дискусионен. С напредването на възрастта асимилационните процеси отслабват, а с тях намаляват защитната и ферментната дейност на белтъците. Внасянето на оптимални количества белтъчини е от особено значение за старческия организъм. Според проучванията на редица автори, предлаганата дневна норма се движи от 1,2 до 1,5 г на килограм тегло.  Мнозина автори обаче са на мнение, че един грам белтък на килограм тегло за денонощие  е напълно достатъчен за осигуряване на оптимален азотен баланс на организма. Белтъчният недоимък и белтъчното гладуване са много опасни за възрастните и старите хора, тъй като ускоряват процесите на стареенето.  От значение е и произходът на белтъците. Обикновено се препоръчва около 60% от консумираните белтъчини да бъдат от животински произход, като 30% от тях да бъдат под формата на мляко и млечни продукти, а останалите 40% - от растителен произход. Белтъчините от животински произход са най-богати на незаменимите за организма аминокиселини. Такива изисквания са по-лесно осъществими в условията на стационарите в болничните заведения, в домовете за стари хора, в санаториумите и почивните станции. </w:t>
      </w:r>
    </w:p>
    <w:p>
      <w:pPr>
        <w:pStyle w:val="NormalText"/>
        <w:rPr/>
      </w:pPr>
      <w:r>
        <w:rPr/>
        <w:t xml:space="preserve">Според редица автори денонощната нужда от </w:t>
      </w:r>
      <w:r>
        <w:rPr>
          <w:b/>
        </w:rPr>
        <w:t>мазнини</w:t>
      </w:r>
      <w:r>
        <w:rPr/>
        <w:t xml:space="preserve"> за старите хора е около 1 г на килограм тегло. Нерационалното хранене с наднормени количества мазнини е свързано най-често с развитието на атеросклероза и преждевременно стареене, макар че храненето не е единствен фактор за това заболяване. Основният принцип е храната на старите хора да бъде от бедни на мазнини и богати на белтъчини животински продукти (най-вече млечни произведения с ниско съдържание на мазнини, пресни нетлъсти риби и месо). Препоръчват се предимно растителни мазнини, чието количество може да достигне до 30% от калорийността на денонощната храна. Предпочитание се отдава на слънчогледовото, царевичното, соевото и други растителни масла, а също и на кравето масло (но в по-ограничени количества). Животинските мазнини (мас, лой, сланина) следва да се избягват. В много ограничени количества трябва да се използва и маргаринът, който се произвежда от растително масло, но химическата му формула е променена по изкуствен начин и повече прилича на животинските мазнини, защото наситените висши мастни киселини са повече от ненаситените.</w:t>
      </w:r>
    </w:p>
    <w:p>
      <w:pPr>
        <w:pStyle w:val="NormalText"/>
        <w:rPr/>
      </w:pPr>
      <w:r>
        <w:rPr/>
        <w:t xml:space="preserve">Препоръчва се 50-55% от калорийния еквивалент на дневното меню да се осигурява от </w:t>
      </w:r>
      <w:r>
        <w:rPr>
          <w:b/>
        </w:rPr>
        <w:t xml:space="preserve">въглехидратите. </w:t>
      </w:r>
      <w:r>
        <w:rPr/>
        <w:t xml:space="preserve">Те са основният енергетичен източник на организма. В напреднала и старческа възраст регулаторните механизми и хомеостазата по отношение на въглехидратната обмяна са твърде  лабилни. Приема се, че количеството на въглехидратите в храната да заема средно 300-320 г за мъжете и 280-290 г за жените в денонощие. Според изискванията на геродиететиката те следва да се осигуряват предимно от плодове, зеленчуци, жито, картофи и в по-малка степен от рафинирани брашна. Въглехидратите от плодовете и зеленчуците освен енергетичната им стойност са богати на вещества, стимулиращи ензимните системи, а също и на витамини, микроелементи и други капилярно-активни фактори.  Фруктозата в плодовете не повишава холестерола и почти не се трансформира в мазнини. Консумацията на храни, богати на целулоза (зеле, моркови, грах, фасул и др.) и пектин (цвекло, праскови, портокали, лимони и др.) благоприятства за елиминирането на холестерола от организма. Тя стимулира  моториката на червата и служи като  профилактично средство срещу често срещания в тази възраст запек. Тестените произведения и сладкишите  трябва значително да се ограничават при затлъстяване, захарен диабет и някои други болестни състояния. </w:t>
      </w:r>
    </w:p>
    <w:p>
      <w:pPr>
        <w:pStyle w:val="NormalText"/>
        <w:rPr/>
      </w:pPr>
      <w:r>
        <w:rPr/>
        <w:t>За нормалното протичане на обменните процеси старите хора се нуждаят от увеличени количества витамини. Витаминотерапията стимулира функционалното състояние на сърдечно-съдовата система, повишава метаболизма в главния мозък, повишава зрителната острота, регулира функционалното състояние на храносмилателната система и  усилва  имунологичната реактивност на  организма. Наблюдаваните в старческа възраст хиповитаминозни състояния възникват в резултат на настъпилите структурни и функционални промени в храносмилателната система, както и при витаминен недоимък в храната. Набавянето на витамините трябва да става главно чрез хранителните продукти –плодовете и зеленчуците, които съдържат в естествен вид витамините, а при нужда – и чрез внасянето в организма на синтетични витаминни комплекси (при невъзможност за ползване на определени хранителни продукти). Препоръчителните норми от витамини в дневния хранителен режим на възрастните хора са посочени в  таблица  №  4 в приложението (12, с.125 и сл.):</w:t>
      </w:r>
    </w:p>
    <w:p>
      <w:pPr>
        <w:pStyle w:val="NormalText"/>
        <w:rPr/>
      </w:pPr>
      <w:r>
        <w:rPr/>
        <w:t>С витаминен недоимък се свързват някои психични разстройства, промени в костите, побеляване на косите и др. В старческа възраст твърде често се открива витаминен недостатък на аскорбинова киселина. Тя потиска биосинтеза на холестерина и намалява неговото отлагане в артериалната стена. Същевременно благоприятства за нормалната обмяна на холестерина, неговата трансформация в жлъчни киселини и по-нататъшното им елиминиране от организма.</w:t>
      </w:r>
    </w:p>
    <w:p>
      <w:pPr>
        <w:pStyle w:val="NormalText"/>
        <w:rPr/>
      </w:pPr>
      <w:r>
        <w:rPr/>
        <w:t xml:space="preserve">В напреднала и старческа възраст съдържанието на </w:t>
      </w:r>
      <w:r>
        <w:rPr>
          <w:b/>
        </w:rPr>
        <w:t>минералните вещества</w:t>
      </w:r>
      <w:r>
        <w:rPr/>
        <w:t xml:space="preserve"> се изменя, макар и не много съществено. Така например съдържанието на някои от тях се увеличава (алуминий, цинк, олово, натрий, кадмий, титан), а на други намалява (мед, желязо, манган, калий, калций, хром, молибден). Всяка промяна  в съотношенията им в организма твърде често  води до едни или други нарушения в метаболизма.  Приема се, че количеството на внасяния в организма калций за денонощие не бива да бъде по-малко от 850 mg, а на желязото – не по-малко от 15 mg. За другите елементи като физиологични норми се определят: фосфор – 1000-1500 mg , натрий – 4000-6000 mg, калий – 2500-5000 mg, хлориди – 5000-7000 mg, магнезий – 300-500 mg, хром – 2.5 mg, мед – 2,0 mg , кобалт – 0,1-0,2 mg , молибден – 0,5 mg , флуориди – 0,5-1,0 mg , йодити – 0,1-0,2 mg . Като  резултат на недоимък на различни минерални вещества  в много случаи сред старите хора се откриват данни за леки анемии и остеопороза. Много важна е ролята на калция и желязото. За облекчаване на дейността на сърдечно-съдовата система и предпазване от атеросклероза се препоръчва употребата на натриев хлорид в напреднала и старческа възраст да се граничи до 5 г дневно, без солта, съдържаща се в натуралните продукти. </w:t>
      </w:r>
    </w:p>
    <w:p>
      <w:pPr>
        <w:pStyle w:val="NormalText"/>
        <w:rPr/>
      </w:pPr>
      <w:r>
        <w:rPr/>
        <w:t xml:space="preserve">За осигуряване на необходимите количества минерални вещества от голямо значение е рационалното подбиране на храната. В тази възраст най-предпочитани са млечните продукти и плодовете. Чрез тях най-лесно се усвояват микроелементите при подходящи пропорции с витамините. Редовната им консумация предпазва от много обменни заболявания. Така например благоприятното съотношение в съдържанието на натрий и калций в плодовете подпомага реактивността и регулира водно-солевия баланс в организма. </w:t>
      </w:r>
    </w:p>
    <w:p>
      <w:pPr>
        <w:pStyle w:val="NormalText"/>
        <w:rPr/>
      </w:pPr>
      <w:r>
        <w:rPr/>
        <w:t xml:space="preserve">С напредването на възрастта се наблюдава непрекъснато снижаване на обменните процеси в организма. Независимо от това, обикновено апетитът на възрастните и старите хора нараства. Човешкият организъм притежава много фини регулаторни функции, които поддържат постоянно негово тегло. При неспазване на подходящ диетичен режим и при нарушения в механизмите, регулиращи телесното тегло, това довежда до енергетичен дисбаланс, до увеличаване на теглото и затлъстяване. От своя страна затлъстяването вторично влияе за по-бързото развитие на инволютивните процеси.  </w:t>
      </w:r>
    </w:p>
    <w:p>
      <w:pPr>
        <w:pStyle w:val="NormalText"/>
        <w:rPr/>
      </w:pPr>
      <w:r>
        <w:rPr/>
        <w:t xml:space="preserve">Според причините, които обуславят затлъстяването, то бива </w:t>
      </w:r>
      <w:r>
        <w:rPr>
          <w:b/>
        </w:rPr>
        <w:t>екзогенно</w:t>
      </w:r>
      <w:r>
        <w:rPr/>
        <w:t xml:space="preserve"> (външно, алиментарно) и </w:t>
      </w:r>
      <w:r>
        <w:rPr>
          <w:b/>
        </w:rPr>
        <w:t>ендогенно</w:t>
      </w:r>
      <w:r>
        <w:rPr/>
        <w:t xml:space="preserve"> (вътрешно).  Ендогенното затлъстяване се среща по-рядко и е свързано с нарушения в дейността на нервната система (междинния мозък, хипофизата), на жлезите с вътрешна секреция. Алиментарното (хранителното) затлъстяване настъпва, когато човек приема с храната повече калории, отколкото са му нужни. Затлъстяването представлява ненормално натрупване на мазнини в човешкото тяло, съпроводено от увеличаване на телесното тегло. Прието е в напреднала и старческа възраст да се счита за нормално напълняването до 10% от идеалното телесно тегло на човека. Според изразеността на затлъстяването обикновено се различават четири степени: </w:t>
      </w:r>
    </w:p>
    <w:p>
      <w:pPr>
        <w:pStyle w:val="Normal"/>
        <w:numPr>
          <w:ilvl w:val="0"/>
          <w:numId w:val="13"/>
        </w:numPr>
        <w:spacing w:lineRule="auto" w:line="240"/>
        <w:rPr/>
      </w:pPr>
      <w:r>
        <w:rPr/>
        <w:t>Затлъстяване първа степен – когато телесното тегло надвишава нормалното от 10 до 29%.</w:t>
      </w:r>
    </w:p>
    <w:p>
      <w:pPr>
        <w:pStyle w:val="Normal"/>
        <w:numPr>
          <w:ilvl w:val="0"/>
          <w:numId w:val="13"/>
        </w:numPr>
        <w:spacing w:lineRule="auto" w:line="240"/>
        <w:rPr/>
      </w:pPr>
      <w:r>
        <w:rPr/>
        <w:t>Затлъстяване от втора степен – когато телесното тегло надвишава нормалното от 30 до 49%.</w:t>
      </w:r>
    </w:p>
    <w:p>
      <w:pPr>
        <w:pStyle w:val="Normal"/>
        <w:numPr>
          <w:ilvl w:val="0"/>
          <w:numId w:val="13"/>
        </w:numPr>
        <w:spacing w:lineRule="auto" w:line="240"/>
        <w:rPr/>
      </w:pPr>
      <w:r>
        <w:rPr/>
        <w:t>Затлъстяване от трета степен – когато телесното тегло надвишава нормалното от 50 до 100%.</w:t>
      </w:r>
    </w:p>
    <w:p>
      <w:pPr>
        <w:pStyle w:val="Normal"/>
        <w:numPr>
          <w:ilvl w:val="0"/>
          <w:numId w:val="13"/>
        </w:numPr>
        <w:spacing w:lineRule="auto" w:line="240"/>
        <w:rPr/>
      </w:pPr>
      <w:r>
        <w:rPr/>
        <w:t>Затлъстяване от четвърта степен – когато телесното тегло надвишава нормалното над  100%.</w:t>
      </w:r>
    </w:p>
    <w:p>
      <w:pPr>
        <w:pStyle w:val="NormalText"/>
        <w:rPr/>
      </w:pPr>
      <w:r>
        <w:rPr/>
        <w:t xml:space="preserve">В напреднала и старческа възраст затлъстяването е един от ранните белези на преждевременното остаряване. Със затлъстяването най-често се свързват атеросклерозата, хипертоничната болест, диабетът и др. Установено е, че хората с наднормено тегло имат повишено кръвно налягане, нарушени са функциите на дихателните им органи, по-често се образуват камъни в бъбреците и жлъчния им  мехур и пр. За предпазване от затлъстяване от изключително важно значение е изграждането на </w:t>
      </w:r>
      <w:r>
        <w:rPr>
          <w:b/>
        </w:rPr>
        <w:t>рационален хранителен режим</w:t>
      </w:r>
      <w:r>
        <w:rPr/>
        <w:t>.</w:t>
      </w:r>
      <w:r>
        <w:rPr>
          <w:b/>
        </w:rPr>
        <w:t xml:space="preserve"> </w:t>
      </w:r>
      <w:r>
        <w:rPr/>
        <w:t xml:space="preserve">С основание мнозина  геродиетолози разглеждат храната като </w:t>
      </w:r>
      <w:r>
        <w:rPr>
          <w:b/>
        </w:rPr>
        <w:t xml:space="preserve">естествено лекарство. </w:t>
      </w:r>
      <w:r>
        <w:rPr/>
        <w:t>Приема се, че всички храни всички хранителни продукти сами по себе си притежават лечебни свойства и в много случаи правилният им подбор позволява дори напълно да се елиминират лекарствата.</w:t>
      </w:r>
    </w:p>
    <w:p>
      <w:pPr>
        <w:pStyle w:val="NormalText"/>
        <w:rPr/>
      </w:pPr>
      <w:r>
        <w:rPr/>
        <w:t xml:space="preserve">Например при някои форми на </w:t>
      </w:r>
      <w:r>
        <w:rPr>
          <w:b/>
        </w:rPr>
        <w:t xml:space="preserve">диабет </w:t>
      </w:r>
      <w:r>
        <w:rPr/>
        <w:t xml:space="preserve">(неинсулинов – втори тип) само с помощта на диета може да се регулира нивото на кръвната захар  в кръвта без да  се прибягва към  употреба на специални препарати. Консумирането на нискокалорични зеленчуци (зеле, моркови, домати, краставици, ряпа и др.) благоприятства за </w:t>
      </w:r>
      <w:r>
        <w:rPr>
          <w:b/>
        </w:rPr>
        <w:t>намаляване на теглото</w:t>
      </w:r>
      <w:r>
        <w:rPr/>
        <w:t>. Тези храни пречат на всмукването на холестерина в организма и съдействат за неговото изхвърляне, подпомагат изпразването на червата и в крайна сметка водят до здравословно отслабване.</w:t>
      </w:r>
    </w:p>
    <w:p>
      <w:pPr>
        <w:pStyle w:val="NormalText"/>
        <w:rPr/>
      </w:pPr>
      <w:r>
        <w:rPr/>
        <w:t xml:space="preserve">При </w:t>
      </w:r>
      <w:r>
        <w:rPr>
          <w:b/>
        </w:rPr>
        <w:t>сърдечно-съдови заболявания</w:t>
      </w:r>
      <w:r>
        <w:rPr/>
        <w:t xml:space="preserve"> включването в менюто на моркови, праскови, портокали, лимони, пъпеши, картофи и др. намалява неблагоприятните сривове в обмяната на веществата и нормализира водно-солевия баланс. При </w:t>
      </w:r>
      <w:r>
        <w:rPr>
          <w:b/>
        </w:rPr>
        <w:t>анемия</w:t>
      </w:r>
      <w:r>
        <w:rPr/>
        <w:t xml:space="preserve"> се препоръчва да се използват продукти, богати на желязо (ябълки, ягоди, круши, праскови, цвекло, нар, пресни или сушени гъби и др.). За лечение на </w:t>
      </w:r>
      <w:r>
        <w:rPr>
          <w:b/>
        </w:rPr>
        <w:t>бъбречни заболявания</w:t>
      </w:r>
      <w:r>
        <w:rPr/>
        <w:t xml:space="preserve"> и </w:t>
      </w:r>
      <w:r>
        <w:rPr>
          <w:b/>
        </w:rPr>
        <w:t>болести на пикочните пътища</w:t>
      </w:r>
      <w:r>
        <w:rPr/>
        <w:t xml:space="preserve"> допринасят много дините, които съдържат голямо количество гликоза и имат силно пикочогенно действие. Солените и пушените продукти, които имат високо съдържание на натриев хлорид, повишават </w:t>
      </w:r>
      <w:r>
        <w:rPr>
          <w:b/>
        </w:rPr>
        <w:t>кръвното налягане</w:t>
      </w:r>
      <w:r>
        <w:rPr/>
        <w:t xml:space="preserve"> и могат да предизвикат криза при болните от хипертония. Богатите на мазнини храни водят до </w:t>
      </w:r>
      <w:r>
        <w:rPr>
          <w:b/>
        </w:rPr>
        <w:t>атеросклероза</w:t>
      </w:r>
      <w:r>
        <w:rPr/>
        <w:t xml:space="preserve"> и до </w:t>
      </w:r>
      <w:r>
        <w:rPr>
          <w:b/>
        </w:rPr>
        <w:t>болести на храносмилателните органи</w:t>
      </w:r>
      <w:r>
        <w:rPr/>
        <w:t xml:space="preserve">. За профилактиката на атеросклерозата помагат храни, съдържащи в достатъчни количества липотропни вещества (никотинова киселина, пиридоксин, холин, метионин и др.), витамините С и В комплекс и микроелементите магнезий, ванадий и др.За същата  цел  М. </w:t>
      </w:r>
      <w:r>
        <w:rPr>
          <w:b/>
        </w:rPr>
        <w:t xml:space="preserve">Маркова </w:t>
      </w:r>
      <w:r>
        <w:rPr/>
        <w:t xml:space="preserve">(54, с.173) предлага следния набор от хранителни продукти (вж. таблица № 5  в приложението). Общият извод е, че при използване на подходящи храни (на първо място плодове и зеленчуци) могат да се регулират функциите на червата, постоянно да се попълва недостигът  на макро- и микроелементи, абсолютно необходими за нормалното функциониране на организма. И обратното, нерационалното хранене може да усложни заболяването, отрицателно да повлияе на хода на лечението, да предизвика рецидив. </w:t>
      </w:r>
    </w:p>
    <w:p>
      <w:pPr>
        <w:pStyle w:val="NormalText"/>
        <w:rPr/>
      </w:pPr>
      <w:r>
        <w:rPr/>
        <w:t>Необходимо е да се посочи, че според геродиететиката за старите хора няма напълно  забранени храни. В противен случай това би довело до развиване на комплекси за малоценност. Поради това при изграждане на примерно меню за хранене педантичен хранителен режим не се препоръчва. Голямо значение се отдава и на ритмичното хранене. Препоръчва се храната да се приема фракционно 3-4 пъти на ден, а именно: около 15-20 % от дневното меню да се приема сутрин на закуска; на обяд – около 45-55 % и вечер – около 20-25 %. Може да се осигури и лека следобедна закуска. Ритмичното и в определени часове приемане на храната е необходимо условие за рационалното й усвояване от организма. Неспазването на такъв режим твърде често разстройва цялата система на  нейното приемане, обработка и асимилация. Ограничаването на храната и рационалният начин на живот са основните методи за профилактика и лечение на затлъстяването. Препоръчва се консумация на такива храни, които създават чувството на ситост (зеленчуци, несладки плодове, нетлъсто месо). Хляб, сладкиши и всички тестени изделия следва да се ограничават, а мазнините се разрешават в малки количества. Ограничаването на калорийността на храната предполага да се съблюдават следните принципи: при първа степен затлъстяване калорийността на храната се намалява с около 20 % от необходимите за организма калории; при втора степен затлъстяване – намалението е с около 40 %, а при трета степен – с около 60 %.</w:t>
      </w:r>
    </w:p>
    <w:p>
      <w:pPr>
        <w:pStyle w:val="NormalText"/>
        <w:rPr/>
      </w:pPr>
      <w:r>
        <w:rPr/>
        <w:t xml:space="preserve">От съществено значение е да се има пред вид  и какво </w:t>
      </w:r>
      <w:r>
        <w:rPr>
          <w:b/>
        </w:rPr>
        <w:t>влияние</w:t>
      </w:r>
      <w:r>
        <w:rPr/>
        <w:t xml:space="preserve"> оказват </w:t>
      </w:r>
      <w:r>
        <w:rPr>
          <w:b/>
        </w:rPr>
        <w:t>различните храни върху действията на лекарствата</w:t>
      </w:r>
      <w:r>
        <w:rPr/>
        <w:t xml:space="preserve">. В напреднала и старческа възраст много хора приемат едни или други лекарства. За да бъде резултатно тяхното действие, е добре да се знае как различните медикаменти си взаимодействат с хранителните вещества. </w:t>
      </w:r>
    </w:p>
    <w:p>
      <w:pPr>
        <w:pStyle w:val="NormalText"/>
        <w:rPr/>
      </w:pPr>
      <w:r>
        <w:rPr/>
        <w:t>Често лекарствените средства при взаимодействието си с храната образуват трайни съединения, които или лошо се усвояват, или пречат на медикамента да окаже своето благотворно действие. Например препоръчва се при вземане на някои антибиотици (тетрациклин, терамицин, тетран и др.) да се изключи от менюто млякото и млечните продукти, тъй като йоните на калция, съдържащи се в тези продукти, образуват с тетрациклините съединения, които значително снижават активността на лекарствата. Мазнините намаляват отделянето на стомашен сок, отслабват перисталтиката на стомаха, което води до забавяне на храносмилателния процес. Когато обаче е необходимо да се повиши усвояването на разтворими в мазнини лекарства (витамини А, D, E, K и др.), богатата на мазнини храна е полезна. Особено внимание следва да се обръща на лекарства с храна, богата на белтъчини. Ако в кръвта е повишено съдържанието на белтъчини, то степента на свързването им с лекарственото средство нараства, което води до намаляване на терапевтичния ефект. Лекарствените средства действат различно в зависимост от това кога са приети – преди, по време или след ядене. По принцип лекарствата, взети преди ядене, се всмукват по-бързо, тъй като те по-пълно взаимодействат с повърхността на стомаха и червата. По време на хранене киселинността на стомашния сок е по-висока, а силно киселата среда оказва влияние върху скоростта на преминаване през стомашно-чревния канал на медикаментите и тяхното всмукване в кръвта. При приемане на аспирин се препоръчва да се използва бедна на белтъчини, мазнини и въглехидрати храна, тъй като в противен случай неговото действие се намалява около два пъти. С други думи, рационалното хранене изпълнява ролята на допълнителен фактор, който благоприятства за по-доброто действие на лекарствата. От значение е и въпросът с какво е най-добре да се пият. Когато се пият с различни плодови сокове, тонизиращи напитки и мляко, киселинността на стомашния сок се променя. Не бива да се забравя и високото съдържание на захар в редица напитки. Много напитки съдържат дъбилни, стипчиви и други вещества, които могат да усилят или обратно – да намалят действието на лекарствата.  Затова обикновено  се препоръчва последните  да се приемат с половин чаша (100 ml) охладена преварена вода, в изправено положение.</w:t>
      </w:r>
    </w:p>
    <w:p>
      <w:pPr>
        <w:pStyle w:val="NormalText"/>
        <w:rPr/>
      </w:pPr>
      <w:r>
        <w:rPr/>
        <w:t xml:space="preserve">Основният извод е, че здравословното (рационалното, оптималното, балансираното) хранене спомага за поддържане на нормална телесна маса, повишава съпротивителните сили спрямо неблагоприятните фактори на средата, поддържа постоянството на хомеостазата на организма. За да е здравословно едно ядене, то трябва да отговаря на определени изисквания: </w:t>
      </w:r>
    </w:p>
    <w:p>
      <w:pPr>
        <w:pStyle w:val="Normal"/>
        <w:numPr>
          <w:ilvl w:val="0"/>
          <w:numId w:val="88"/>
        </w:numPr>
        <w:spacing w:lineRule="auto" w:line="240"/>
        <w:rPr/>
      </w:pPr>
      <w:r>
        <w:rPr/>
        <w:t>храната да задоволява ежедневните енергийни нужди;</w:t>
      </w:r>
    </w:p>
    <w:p>
      <w:pPr>
        <w:pStyle w:val="Normal"/>
        <w:numPr>
          <w:ilvl w:val="0"/>
          <w:numId w:val="88"/>
        </w:numPr>
        <w:spacing w:lineRule="auto" w:line="240"/>
        <w:rPr/>
      </w:pPr>
      <w:r>
        <w:rPr/>
        <w:t>храната да доставя всички вещества, необходими за съществуването на организма;</w:t>
      </w:r>
    </w:p>
    <w:p>
      <w:pPr>
        <w:pStyle w:val="Normal"/>
        <w:numPr>
          <w:ilvl w:val="0"/>
          <w:numId w:val="88"/>
        </w:numPr>
        <w:spacing w:lineRule="auto" w:line="240"/>
        <w:rPr/>
      </w:pPr>
      <w:r>
        <w:rPr/>
        <w:t>ежедневно да се приемат плодове и зеленчуци в сурово състояние;</w:t>
      </w:r>
    </w:p>
    <w:p>
      <w:pPr>
        <w:pStyle w:val="Normal"/>
        <w:numPr>
          <w:ilvl w:val="0"/>
          <w:numId w:val="88"/>
        </w:numPr>
        <w:spacing w:lineRule="auto" w:line="240"/>
        <w:rPr/>
      </w:pPr>
      <w:r>
        <w:rPr/>
        <w:t>технологичната обработка на храната да отговаря на изискванията;</w:t>
      </w:r>
    </w:p>
    <w:p>
      <w:pPr>
        <w:pStyle w:val="Normal"/>
        <w:numPr>
          <w:ilvl w:val="0"/>
          <w:numId w:val="88"/>
        </w:numPr>
        <w:spacing w:lineRule="auto" w:line="240"/>
        <w:rPr/>
      </w:pPr>
      <w:r>
        <w:rPr/>
        <w:t>да се спазва рационален режим на хранене;</w:t>
      </w:r>
    </w:p>
    <w:p>
      <w:pPr>
        <w:pStyle w:val="Normal"/>
        <w:numPr>
          <w:ilvl w:val="0"/>
          <w:numId w:val="88"/>
        </w:numPr>
        <w:spacing w:lineRule="auto" w:line="240"/>
        <w:rPr/>
      </w:pPr>
      <w:r>
        <w:rPr/>
        <w:t>да се използват висококачествени продукти, несъдържащи вредни за здравето примеси и добавки.</w:t>
      </w:r>
    </w:p>
    <w:p>
      <w:pPr>
        <w:pStyle w:val="NormalText"/>
        <w:rPr/>
      </w:pPr>
      <w:r>
        <w:rPr/>
        <w:t xml:space="preserve">Алтернативното хранене включва едни или други хранителни режими, съществено различаващи се от посочените изисквания. Практикуването на  такова хранене се прилага по най-различни причини: религиозно-философски, личностни и семейни традиции, промени в начина на живот, икономически съображения и много други. Такива видове хранене са: </w:t>
      </w:r>
    </w:p>
    <w:p>
      <w:pPr>
        <w:pStyle w:val="Heading4"/>
        <w:numPr>
          <w:ilvl w:val="0"/>
          <w:numId w:val="88"/>
        </w:numPr>
        <w:spacing w:lineRule="auto" w:line="240"/>
        <w:rPr/>
      </w:pPr>
      <w:r>
        <w:rPr/>
        <w:t>редуцираното хранене</w:t>
      </w:r>
      <w:r>
        <w:rPr>
          <w:b w:val="false"/>
        </w:rPr>
        <w:t>. То се прилага за намаляване наднормената телесна маса. Хранителният режим включва ограничаване на мазнините и въглехидратите. Обикновено  един ден от седмицата се определя за “разтоварващ”. Приемат се само плодове, разпределени на 4-5 порции през целия ден и се пие чай, подсладен с мед или за 24 часа се приема 1,5 литра кисело мляко без захар. Практикуват и други варианти.</w:t>
      </w:r>
    </w:p>
    <w:p>
      <w:pPr>
        <w:pStyle w:val="Normal"/>
        <w:numPr>
          <w:ilvl w:val="0"/>
          <w:numId w:val="88"/>
        </w:numPr>
        <w:spacing w:lineRule="auto" w:line="240"/>
        <w:rPr/>
      </w:pPr>
      <w:r>
        <w:rPr>
          <w:b/>
        </w:rPr>
        <w:t>вегетарианството</w:t>
      </w:r>
      <w:r>
        <w:rPr/>
        <w:t>. Този вид хранителен режим се основава само на храни от растителен произход с напълно или частично изключване на такива от животински произход. Оволактовегетарианците например освен храни от растителен произход използват яйца и мляко. Умерените (псевдо) вегетарианци консумират и месо само от птици и риба.</w:t>
      </w:r>
    </w:p>
    <w:p>
      <w:pPr>
        <w:pStyle w:val="Normal"/>
        <w:numPr>
          <w:ilvl w:val="0"/>
          <w:numId w:val="88"/>
        </w:numPr>
        <w:spacing w:lineRule="auto" w:line="240"/>
        <w:rPr/>
      </w:pPr>
      <w:r>
        <w:rPr>
          <w:b/>
        </w:rPr>
        <w:t>разделното хранене</w:t>
      </w:r>
      <w:r>
        <w:rPr/>
        <w:t xml:space="preserve">. Още през 1902 г. руският физиолог И.П. </w:t>
      </w:r>
      <w:r>
        <w:rPr>
          <w:b/>
        </w:rPr>
        <w:t>Павлов</w:t>
      </w:r>
      <w:r>
        <w:rPr/>
        <w:t xml:space="preserve"> описва процеса на храносмилане и доказва, че белтъчините, мазнините и въглехидратите се разграждат на различни храносмилателни ензими, в различни части на храносмилателната система, в кисела или алкална среда. Консумирайки едновременно и трите вида храни, както е при традиционното хранене, храносмилането се нарушава поради смесване на ензимите. В резултат на това храната се смила непълно и в червата се образуват токсични вещества.</w:t>
      </w:r>
    </w:p>
    <w:p>
      <w:pPr>
        <w:pStyle w:val="NormalText"/>
        <w:rPr/>
      </w:pPr>
      <w:r>
        <w:rPr/>
        <w:t xml:space="preserve">В зависимост от различните заболявания на лицата в напреднала и старческа възраст обикновено им се препоръчват адекватни диети. </w:t>
      </w:r>
      <w:r>
        <w:rPr>
          <w:b/>
        </w:rPr>
        <w:t xml:space="preserve">        </w:t>
      </w:r>
      <w:r>
        <w:rPr/>
        <w:t xml:space="preserve"> </w:t>
      </w:r>
    </w:p>
    <w:p>
      <w:pPr>
        <w:pStyle w:val="NormalText"/>
        <w:rPr/>
      </w:pPr>
      <w:r>
        <w:rPr/>
        <w:t xml:space="preserve">Организмът на възрастния човек обикновено съдържа  около 65 % </w:t>
      </w:r>
      <w:r>
        <w:rPr>
          <w:b/>
        </w:rPr>
        <w:t>вода.</w:t>
      </w:r>
      <w:r>
        <w:rPr/>
        <w:t xml:space="preserve">  Тя е основната среда, в  която протичат всички обменни процеси, стоящи в основата на живота. Водата е необходима за разтваряне на хранителните вещества, за отделяне от организма на ненужните продукти на обмяната, за регулиране на телесната температура и пр. Тя се отделя от организма главно от бъбреците чрез урината, от чревната стена с храносмилателните сокове, от потните жлези при изпотяването и от белите дробове в издишвания въздух. Организмът винаги отделя повече вода, отколкото постъпва в него. Това се обяснява с образуването на вода за сметка на окисляването на органичните вещества в клетките на организма. Загубата на вода се компенсира от приемането на течности, като вода, мляко, чай, безалкохолни напитки и   др., от течните храни (супи, яхнии) и от твърдите храни (плодове, зеленчуци, месо), в които винаги се съдържа известно количество вода.   При нормални условия дневната необходимост от вода за възрастните и старите хора е от 700 до 1200 ml за денонощие. Ежедневното набавяне на вода е жизнена потребност за организма, тъй като обезводняването обикновено води до тежки последствия. Опасно е не поемането на повече, а на по-малко вода, особено когато недоимъкът продължава дълго. </w:t>
      </w:r>
    </w:p>
    <w:p>
      <w:pPr>
        <w:pStyle w:val="NormalText"/>
        <w:rPr/>
      </w:pPr>
      <w:r>
        <w:rPr/>
        <w:t xml:space="preserve">Естествено, съществен е и въпросът за състава на поглъщаната вода. Той може да бъде полезен или с органичните си и неорганичните си съставки да вреди. По принцип питейната вода трябва да бъде прозрачна, без мирис и вкус. Обикновено във водата се съдържат минерални соли. Смята се, че тя е годна за пиене, когато тези соли не надхвърлят 1000 мг на литър. По-високото съдържание на соли я правят солена и негодна за пиене. Понижената минерализация на вода също влошава вкуса й. Със съдържанието на соли на калция и магнезия се свързва друго свойство на водата – нейната твърдост. Наситената със соли вода причинява много неудобства: трудно увират месото и зеленчуците, при пране се изразходват повече перилни препарати, по стените на чайниците и тенджерите се отлага накип, запушват се водопроводните тръби и др. Редица изследвания свидетелстват, че съществува връзка между употребата на твърда вода и някои заболявания. Така например приема се, че колкото повече соли има във водата, толкова по-малко са случаите на инфаркт и хипертония сред хората, които я употребяват. И обратното, колкото по-мека е водата, толкова повече сърдечноболни има сред населението. Възможно е водата да съдържа токсични вещества. Към тях се отнасят арсенът, оловото, молибденът, стронцият, нитратните съединения, уранът, радият и др. Например, употребата на вода, съдържаща 0,2-1 мг арсен на литър предизвиква разстройство на централната и периферната нервна система, което води до полиневрити. Безвредна е концентрацията на арсен от 0,05 мг на литър. За опасността от оловото учените започнаха да говорят във връзка с масовите интоксикации, възникнали при използването на оловни водопроводни тръби. Сега такива вече не се поставят. </w:t>
      </w:r>
    </w:p>
    <w:p>
      <w:pPr>
        <w:pStyle w:val="NormalText"/>
        <w:rPr/>
      </w:pPr>
      <w:r>
        <w:rPr/>
        <w:t xml:space="preserve">Голямо разпространение в целия свят получи методът за обеззаразяване на водата чрез хлориране. Хлорът унищожава намиращите се във водата бактерии, като същевременно окислява органичните вещества. Ето защо хлорирането (чрез определено дозиране) е добро средство за борба с намиращите се във водата микроскопични водорасли. За профилактика на зъбния кариес благоприятства флоурирането на питейната вода. Тя може да се стерилизира и чрез озониране или ултравиолетово облъчване. Озонът е силен окислител и унищожава бактериите, спорите и вирусите, в частност и вируса на полимиелита, а така също и разтворените във водата органични вещества.  Преимуществото на този метод е, че озонът, дезинфекцирайки водата, я обезцветява, премахва страничните миризми и привкуси. При това озонирането не изменя естествените й свойства, тъй като озонът след няколко минути се превръща в кислород. Преимуществото на пречистването на водата чрез ултравиолетово облъчване е, че то също не променя вкусовите и химичните й свойства, а обеззаразената вода веднага може да се пие, тъй като унищожава болестотворните микроби по-бързо, отколкото хлорът и дори озонът. Само че този метод има твърде съществен недостатък: ултравиолетовите лъчи не действат на мътна и богата на железни соли вода.  </w:t>
      </w:r>
    </w:p>
    <w:p>
      <w:pPr>
        <w:pStyle w:val="NormalText"/>
        <w:rPr/>
      </w:pPr>
      <w:r>
        <w:rPr/>
        <w:t xml:space="preserve">В древността за съхранение на питейната вода са употребявали сребро. За това свидетелстват древноиндийски ръкописи и трудовете на древногръцкия историк Херодот. Среброто притежава бактерицидни свойства. Този метал има по-силно антимикробно действие, отколкото пеницилина, биомицина и другите антисептици и унищожава устойчивите на антибиотици бактерийни щамове. Водата, съдържаща дори 1 мг сребро на литър, може да дезактивира грипни вируси от различни щамове. При това тя запазва бактерицидността си в продължение на няколко месеца. При значително по-ниски концентрации, не надвишаващи 0,1-0,2 мг на литър, водата убива причинителите на холера, дори ако тяхната концентрация е 1 млн на 1 мл. Високата бактерицидност на сребърната вода е установена и при заразяването й с причинителите на дизентерия, коремен тиф, паратиф, салмонелози и пр. </w:t>
      </w:r>
    </w:p>
    <w:p>
      <w:pPr>
        <w:pStyle w:val="NormalText"/>
        <w:rPr/>
      </w:pPr>
      <w:r>
        <w:rPr/>
        <w:t xml:space="preserve">Повишаване на температура на водата също оказва положително влияние на ефективността на сребърните йони, което свидетелства за значителната роля на химичните процеси при тези явления. Така например ако водата е бистра и прозрачна, обеззаразителният ефект се постига за 1-2 часа при концентрация на електролитното сребро 0,2-0,4 на литър. При лабораторните изследвания е доказано, че за съхраняването на чиста питейна вода е достатъчна и по-ниска концентрация на сребро – 0,05 мг на литър. Такава вода може да се употребява без никакъв риск за здравето. </w:t>
      </w:r>
    </w:p>
    <w:p>
      <w:pPr>
        <w:pStyle w:val="NormalText"/>
        <w:rPr/>
      </w:pPr>
      <w:r>
        <w:rPr/>
        <w:t xml:space="preserve">Колкото човек работи по-интензивно, толкова по-голяма нужда има от течности, тъй като по-бързо ги изразходва. Изпитата вода не утолява жаждата веднага; тя трябва да се усвои от организма и да постъпи в кръвта, а това става след 10-15 минути. Топлите и горещите напитки се усвояват по-бързо и повече утоляват жаждата от студените. Не случайно по време на летните горещини се препоръчва да се пие горещ чай. Прекомерната употреба на течности е нежелателна и дори вредна, тъй като в резултат на това от организма се изхвърлят и много полезни хранителни вещества – минерални соли и витамини. Приемането на голямо количество вода предизвиква обилно изпотяване, при което организмът губи твърде много сол (до 30 г), а тя задържа течностите в тъканите. Получава се омагьосан кръг – колкото повече вода се пие, толкова човек е по-жаден. По време на горещините се препоръчва да се пие на малки порции, без да се бърза, на малки глътки, като течността да се задържа повече време в устата, за да се елиминира усещането за жажда. Рационалното регулиране на режима на пиене позволява да се въздейства благоприятно върху функциите на редица органи. Така например изпитата на гладно вода, особено ако е охладена, газирана, а също и подсладените напитки, усилват перисталтиката на червата и имат слабително действие. Горещи напитки на гладно не се препоръчват, тъй като действат неблагоприятно на стомашната лигавица. Вредно е да се пие студена вода след обилна, богата на мазнини храна. Мазнините по-дълго се задържат в стомаха и ако се пие много вода, той ще се препълни и разшири. Това води до неприятното усещане за тежест, а в редица случаи и до разстройство, тъй като препълненият стомах рефлекторно усилва перисталтиката на червата. Нашата страна е много богата на минерални води. Твърде голяма част от тях могат да се използват като трапезни, тъй като   благоприятстват за профилактиката и лечението на редица заболявания. </w:t>
      </w:r>
    </w:p>
    <w:p>
      <w:pPr>
        <w:pStyle w:val="Heading2"/>
        <w:rPr/>
      </w:pPr>
      <w:bookmarkStart w:id="22" w:name="__RefHeading___Toc89859683"/>
      <w:r>
        <w:rPr/>
        <w:t>5.4.  Активната двигателна дейност в напреднала и старческа възраст – фактор за пълноценен живот и дълголетие</w:t>
      </w:r>
      <w:bookmarkEnd w:id="22"/>
      <w:r>
        <w:rPr/>
        <w:t xml:space="preserve"> </w:t>
      </w:r>
    </w:p>
    <w:p>
      <w:pPr>
        <w:pStyle w:val="NormalText"/>
        <w:rPr/>
      </w:pPr>
      <w:r>
        <w:rPr/>
        <w:t xml:space="preserve">Установено е, че един от рисковите фактори, водещи до преждевременно остаряване, е </w:t>
      </w:r>
      <w:r>
        <w:rPr>
          <w:b/>
        </w:rPr>
        <w:t>хиподинамията</w:t>
      </w:r>
      <w:r>
        <w:rPr/>
        <w:t xml:space="preserve"> (обездвижването). Макар че все още не са изяснени изцяло механизмите, чрез които обездвижването влияе върху организма на човека, увреждащото действие на физическия и психическия </w:t>
      </w:r>
      <w:r>
        <w:rPr>
          <w:b/>
        </w:rPr>
        <w:t xml:space="preserve">инактивитет </w:t>
      </w:r>
      <w:r>
        <w:rPr/>
        <w:t xml:space="preserve">се потвърждава от много автори. Така например констатира се, че при възрастни нетренирани лица силно са отслабени функционалните свойства на скелетните мускули, наблюдава се дълъг латентен период на двигателните реакции от момента на дразненето до съкращението, понижена мускулна работа и мощност, повишена степен на умора при неголяма по обем и интензивност мускулна дейност. Твърде често се наблюдават известни нарушения в координацията на движенията, намаляване на трудоспособността. Освен явления на атрофия и инволюция у обездвижените лица се откриват и нарушени механизми на кръвоснабдяването на важни органи, кръвоизливи и др. Хиподинамията в значителна степен влияе върху интензивността на окислителните процеси в сърцето, предизвика тежки разстройства на важни регулаторни механизми и често става причина за различни заболявания. </w:t>
      </w:r>
    </w:p>
    <w:p>
      <w:pPr>
        <w:pStyle w:val="NormalText"/>
        <w:rPr/>
      </w:pPr>
      <w:r>
        <w:rPr/>
        <w:t xml:space="preserve">Обездвижването се наблюдава не само при лицата в напреднала и старческа възраст, а и в много по-ранните периоди на онтогенеза. В резултат на научно-техническия прогрес съвременният труд все повече се интелектуализира. Тежкият физически труд почти изцяло е заменен от действието на автоматизираните линии и технически устройства. Поради това много от сегашните условия на труд са свързани с продължителен престой на едно и също място. Това неминуемо води до значително влошаване на показателите на психофизическата активност. </w:t>
      </w:r>
    </w:p>
    <w:p>
      <w:pPr>
        <w:pStyle w:val="NormalText"/>
        <w:rPr/>
      </w:pPr>
      <w:r>
        <w:rPr/>
        <w:t>Недостатъчното движение за продължителен период от време (особено при хора, лишени поради естеството на работата им от мускулни усилия) се превръща във фактор, предразполагащ към заболяване от атеросклероза, хипертония, инфаркт на миокарда и др. Не случайно тези болести се  срещат по-често при хората на умствения труд, отколкото при упражняващите физически труд.</w:t>
      </w:r>
    </w:p>
    <w:p>
      <w:pPr>
        <w:pStyle w:val="NormalText"/>
        <w:rPr>
          <w:b/>
          <w:b/>
        </w:rPr>
      </w:pPr>
      <w:r>
        <w:rPr>
          <w:b/>
        </w:rPr>
        <w:t xml:space="preserve">В напреднала и старческа възраст, най-вече след пенсионирането, опасността от обездвижване значително се увеличава поради постепенното стесняване на диапазона на трудовите функции и социалните роли на старите хора. В процеса на остаряването възниква един “омагьосан” кръг. От една страна, възрастовите изменения в двигателната и сърдечно-съдовата система водят до ограничаване на двигателната активност, а от друга – развиващата се с възрастта хиподинамия ускорява стареенето. </w:t>
      </w:r>
    </w:p>
    <w:p>
      <w:pPr>
        <w:pStyle w:val="NormalText"/>
        <w:rPr/>
      </w:pPr>
      <w:r>
        <w:rPr>
          <w:b/>
        </w:rPr>
        <w:t>Двигателната активност</w:t>
      </w:r>
      <w:r>
        <w:rPr/>
        <w:t xml:space="preserve"> е исторически най-древният, физиологически най-мощният “лост” за въздействие върху организма. Биологическите възможности за активна физическа дейност в напреднала и старческа възраст, макар и в намален размер, са запазени. Много хора обаче не използват тези свои възможности, а обратно – водят заседнал живот и се лишават от благоприятното въздействие на двигателната дейност. При стареенето това въздействие е многостранно: положително се повлиява основната обмяна, подобрява се функционалното състояние на сърдечно-съдовата и дихателната система, увеличава се мускулната сила, укрепва подвижността на нервните процеси и др. </w:t>
      </w:r>
    </w:p>
    <w:p>
      <w:pPr>
        <w:pStyle w:val="NormalText"/>
        <w:rPr/>
      </w:pPr>
      <w:r>
        <w:rPr/>
        <w:t xml:space="preserve">Съществуват редица доказателства, че двигателната активност, тренирайки системите на организма, повишава степента на неговата приспособимост, прави го по-устойчив към действието на вредните фактори,  подобрява “качеството” на живот. Двигателната активност води до редица важни положителни резултати – </w:t>
      </w:r>
      <w:r>
        <w:rPr>
          <w:b/>
        </w:rPr>
        <w:t>икономичност</w:t>
      </w:r>
      <w:r>
        <w:rPr/>
        <w:t xml:space="preserve"> (по-икономична работа на сърцето); </w:t>
      </w:r>
      <w:r>
        <w:rPr>
          <w:b/>
        </w:rPr>
        <w:t xml:space="preserve">антихипоксия </w:t>
      </w:r>
      <w:r>
        <w:rPr/>
        <w:t xml:space="preserve">(подобрява се кръвоснабдяването на тъканите, усилва се вентилацията на белите дробове, намаляват се потребностите на сърцето от кислород); </w:t>
      </w:r>
      <w:r>
        <w:rPr>
          <w:b/>
        </w:rPr>
        <w:t>преодоляване на стреса</w:t>
      </w:r>
      <w:r>
        <w:rPr/>
        <w:t xml:space="preserve">  (увеличава се надеждността на нервните и хормоналните процеси); </w:t>
      </w:r>
      <w:r>
        <w:rPr>
          <w:b/>
        </w:rPr>
        <w:t xml:space="preserve">генорегулация </w:t>
      </w:r>
      <w:r>
        <w:rPr/>
        <w:t xml:space="preserve">(активизира се синтезирането на много белтъци); </w:t>
      </w:r>
      <w:r>
        <w:rPr>
          <w:b/>
        </w:rPr>
        <w:t>психична активност</w:t>
      </w:r>
      <w:r>
        <w:rPr/>
        <w:t xml:space="preserve"> (нараства умствената активност, преобладават положителните емоции) и др.</w:t>
      </w:r>
    </w:p>
    <w:p>
      <w:pPr>
        <w:pStyle w:val="NormalText"/>
        <w:rPr/>
      </w:pPr>
      <w:r>
        <w:rPr/>
        <w:t xml:space="preserve">Нарастващият недостиг на двигателната активност, необходима за пълноценната жизнена дейност на организма, състоянието на своеобразен “мускулен глад” рязко повишават значението и ролята на физическата култура. Разбира се, трябва да се отчита фактът, че при различните организми физическите упражнения могат да предизвикат положителни реакции, но могат да въздействат и отрицателно. Всичко зависи от състоянието на организма и степента на неговото натоварване. </w:t>
      </w:r>
    </w:p>
    <w:p>
      <w:pPr>
        <w:pStyle w:val="NormalText"/>
        <w:rPr/>
      </w:pPr>
      <w:r>
        <w:rPr/>
        <w:t xml:space="preserve">Двигателната активност, двигателният режим са широкообемни понятия. Техният характер, сила, продължителност могат да се променят в широк диапазон. Един от основните проблеми е изборът на оптималното натоварване. В противен случай може да се получи неблагоприятен ефект. Големите натоварвания при старите хора могат да доведат до нежелателни последствия. </w:t>
      </w:r>
    </w:p>
    <w:p>
      <w:pPr>
        <w:pStyle w:val="NormalText"/>
        <w:rPr/>
      </w:pPr>
      <w:r>
        <w:rPr/>
        <w:t>Заниманията с физкултура подобряват обмяната на веществата, благоприятстват за намаляване на наднорменото тегло, обусловено от прекомерното развитие на мастната съединителна тъкан, което повишава работоспособността. В кръвния серум се увеличават веществата, които имат защитни функции по отношение на появата на атеросклероза и други сърдечно-съдови заболявания.</w:t>
      </w:r>
    </w:p>
    <w:p>
      <w:pPr>
        <w:pStyle w:val="NormalText"/>
        <w:rPr/>
      </w:pPr>
      <w:r>
        <w:rPr/>
        <w:t xml:space="preserve">Активният двигателен режим оказва положително въздействие и на централната нервна система. Той спомага за повишаване на работоспособността на двигателните нервни центрове, за отстраняване на нарушенията в координацията на движенията. Благоприятни изменения настъпват и в субективното самочувствие – човек се чувства по-добре, подобрява се сънят, повишава се настроението, през цялото време се усеща бодрост. </w:t>
      </w:r>
    </w:p>
    <w:p>
      <w:pPr>
        <w:pStyle w:val="NormalText"/>
        <w:rPr/>
      </w:pPr>
      <w:r>
        <w:rPr/>
        <w:t xml:space="preserve">Системните физически упражнения забавят склеротичните процеси в стените на кръвоносните съдове. Редовните тренировки водят до развитие в сърдечния мускул на допълнителни съдове, подобряващи кръвообращението на сърцето.  Прекомерните натоварвания обаче влияят  отрицателно върху работата на сърцето. По-доброто регулиране на сърдечно-съдовата система в резултат от дозирана мускулна активност, измененията в регулацията на кръвообращението, настъпили вследствие на тренировките, служат като надежден щит не само срещу неблагоприятни влияния на мускулната активност и нейния недостиг, а и срещу най-различни въздействия, които могат да нарушат работата на сърцето ( в условията на психоемоционален стрес). </w:t>
      </w:r>
    </w:p>
    <w:p>
      <w:pPr>
        <w:pStyle w:val="NormalText"/>
        <w:rPr/>
      </w:pPr>
      <w:r>
        <w:rPr/>
        <w:t xml:space="preserve">За лицата в напреднала и старческа възраст могат да се препоръчат различни физически упражнения, в зависимост от здравословното им състояние. Така например за немощни, но не болни хора като физическо натоварване са подходящи разходките, които са от половин до един час. Продължителното престояване в затворени и непроветрявани помещения,  лишаването от престой на открито, от екскурзии в природата се отразява неблагоприятно върху тяхното здраве и самочувствие. Препоръчва се пребиваването на чист въздух задължително да се съчетава с ритмично дишане. Хората, страдащи от бавноразвиващи се хронични заболявания, е добре да изпълняват дозирани гимнастически упражнения по 35-40 минути дневно. Волевите усилия и напрежението зареждат организма с енергия, стимулират обмяната на веществата. </w:t>
      </w:r>
    </w:p>
    <w:p>
      <w:pPr>
        <w:pStyle w:val="NormalText"/>
        <w:rPr/>
      </w:pPr>
      <w:r>
        <w:rPr/>
        <w:t>В зависимост от различните заболявания на лицата в напреднала и старческа възраст обикновено им се препоръчват по-специфични комплекси от физически упражнения.</w:t>
      </w:r>
    </w:p>
    <w:p>
      <w:pPr>
        <w:pStyle w:val="Heading2"/>
        <w:rPr/>
      </w:pPr>
      <w:bookmarkStart w:id="23" w:name="__RefHeading___Toc89859684"/>
      <w:r>
        <w:rPr>
          <w:lang w:val="bg-BG"/>
        </w:rPr>
        <w:t xml:space="preserve">5.5. </w:t>
      </w:r>
      <w:r>
        <w:rPr/>
        <w:t>Здравни проблеми и  здравни потребности на лицата в напреднала и старческа  възраст</w:t>
      </w:r>
      <w:bookmarkEnd w:id="23"/>
      <w:r>
        <w:rPr/>
        <w:t xml:space="preserve"> </w:t>
      </w:r>
    </w:p>
    <w:p>
      <w:pPr>
        <w:pStyle w:val="NormalText"/>
        <w:rPr/>
      </w:pPr>
      <w:r>
        <w:rPr/>
        <w:t xml:space="preserve">Групата на лицата в напреднала и старческа (сенилна)  старческа възраст по своята същност е една твърде </w:t>
      </w:r>
      <w:r>
        <w:rPr>
          <w:b/>
        </w:rPr>
        <w:t>разнородна съвкупност</w:t>
      </w:r>
      <w:r>
        <w:rPr/>
        <w:t xml:space="preserve"> от гледна точка на процеса на стареене. Сред тях има мнозина със запазена жизненост и трудоспособност, други да обременени с множество заболявания, трети са в състояние на старческа немощ и се нуждаят от по-специални грижи. Със своите соматични, психични и социални проблеми тази група е една от рисковите сред населението. За успешното им разрешаване от много голямо значение е адекватната медицинска, психологическа и социална помощ на всички нуждаещи се. Увеличаването на населението в сенилна възраст определи изключително голямата актуалност на гериатричната помощ за старите хора. Дейността на органите на здравеопазването в тази сфера включва създаване на служби за медицинска помощ за възрастните, специализация и обучение по въпросите на гериатричното обслужване, провеждане на профилактични мероприятия по запазване здравето на стареещите и пр. Групите, на които са разделени здравноосигурените лица над 65 годишна възраст са пет: възрастни хора със запазена жизненост и трудоспособност, с хронични заболявания, с група инвалидност, стари хора, терминално болни.</w:t>
      </w:r>
    </w:p>
    <w:p>
      <w:pPr>
        <w:pStyle w:val="NormalText"/>
        <w:rPr/>
      </w:pPr>
      <w:r>
        <w:rPr/>
        <w:t xml:space="preserve">Така например общопрактикуващите лекари са задължени да извършват както медицински, така и медико-социални, рехабилитационни и психосоциални дейности. </w:t>
      </w:r>
    </w:p>
    <w:p>
      <w:pPr>
        <w:pStyle w:val="Normal"/>
        <w:rPr/>
      </w:pPr>
      <w:r>
        <w:rPr/>
        <w:t>Медицинските грижи включват:</w:t>
      </w:r>
    </w:p>
    <w:p>
      <w:pPr>
        <w:pStyle w:val="Normal"/>
        <w:numPr>
          <w:ilvl w:val="0"/>
          <w:numId w:val="11"/>
        </w:numPr>
        <w:spacing w:lineRule="auto" w:line="240"/>
        <w:rPr>
          <w:i/>
          <w:i/>
        </w:rPr>
      </w:pPr>
      <w:r>
        <w:rPr/>
        <w:t>Един задължителен основен профилактичен преглед годишно:</w:t>
      </w:r>
    </w:p>
    <w:p>
      <w:pPr>
        <w:pStyle w:val="Normal"/>
        <w:numPr>
          <w:ilvl w:val="0"/>
          <w:numId w:val="88"/>
        </w:numPr>
        <w:spacing w:lineRule="auto" w:line="240"/>
        <w:rPr/>
      </w:pPr>
      <w:r>
        <w:rPr/>
        <w:t>Клиничен преглед;</w:t>
      </w:r>
    </w:p>
    <w:p>
      <w:pPr>
        <w:pStyle w:val="Normal"/>
        <w:numPr>
          <w:ilvl w:val="0"/>
          <w:numId w:val="88"/>
        </w:numPr>
        <w:spacing w:lineRule="auto" w:line="240"/>
        <w:rPr>
          <w:i/>
          <w:i/>
        </w:rPr>
      </w:pPr>
      <w:r>
        <w:rPr/>
        <w:t>Артериално налягане;</w:t>
      </w:r>
    </w:p>
    <w:p>
      <w:pPr>
        <w:pStyle w:val="Normal"/>
        <w:numPr>
          <w:ilvl w:val="0"/>
          <w:numId w:val="88"/>
        </w:numPr>
        <w:spacing w:lineRule="auto" w:line="240"/>
        <w:rPr>
          <w:i/>
          <w:i/>
        </w:rPr>
      </w:pPr>
      <w:r>
        <w:rPr/>
        <w:t>ЕКГ;</w:t>
      </w:r>
    </w:p>
    <w:p>
      <w:pPr>
        <w:pStyle w:val="Normal"/>
        <w:numPr>
          <w:ilvl w:val="0"/>
          <w:numId w:val="88"/>
        </w:numPr>
        <w:spacing w:lineRule="auto" w:line="240"/>
        <w:rPr>
          <w:i/>
          <w:i/>
        </w:rPr>
      </w:pPr>
      <w:r>
        <w:rPr/>
        <w:t>ПКК;</w:t>
      </w:r>
    </w:p>
    <w:p>
      <w:pPr>
        <w:pStyle w:val="Normal"/>
        <w:numPr>
          <w:ilvl w:val="0"/>
          <w:numId w:val="88"/>
        </w:numPr>
        <w:spacing w:lineRule="auto" w:line="240"/>
        <w:rPr>
          <w:i/>
          <w:i/>
        </w:rPr>
      </w:pPr>
      <w:r>
        <w:rPr/>
        <w:t>Кръвна захар;</w:t>
      </w:r>
    </w:p>
    <w:p>
      <w:pPr>
        <w:pStyle w:val="Normal"/>
        <w:numPr>
          <w:ilvl w:val="0"/>
          <w:numId w:val="88"/>
        </w:numPr>
        <w:spacing w:lineRule="auto" w:line="240"/>
        <w:rPr>
          <w:i/>
          <w:i/>
        </w:rPr>
      </w:pPr>
      <w:r>
        <w:rPr/>
        <w:t>Изследване на урина – албумин и седимент.</w:t>
      </w:r>
    </w:p>
    <w:p>
      <w:pPr>
        <w:pStyle w:val="Normal"/>
        <w:numPr>
          <w:ilvl w:val="0"/>
          <w:numId w:val="11"/>
        </w:numPr>
        <w:spacing w:lineRule="auto" w:line="240"/>
        <w:rPr>
          <w:i/>
          <w:i/>
        </w:rPr>
      </w:pPr>
      <w:r>
        <w:rPr/>
        <w:t>Извършване на целеви профилактични прегледи.</w:t>
      </w:r>
    </w:p>
    <w:p>
      <w:pPr>
        <w:pStyle w:val="Normal"/>
        <w:numPr>
          <w:ilvl w:val="0"/>
          <w:numId w:val="11"/>
        </w:numPr>
        <w:spacing w:lineRule="auto" w:line="240"/>
        <w:rPr>
          <w:i/>
          <w:i/>
        </w:rPr>
      </w:pPr>
      <w:r>
        <w:rPr/>
        <w:t>Насочване и регистрация на нуждаещите се в диспансери.</w:t>
      </w:r>
    </w:p>
    <w:p>
      <w:pPr>
        <w:pStyle w:val="Normal"/>
        <w:numPr>
          <w:ilvl w:val="0"/>
          <w:numId w:val="11"/>
        </w:numPr>
        <w:spacing w:lineRule="auto" w:line="240"/>
        <w:rPr>
          <w:i/>
          <w:i/>
        </w:rPr>
      </w:pPr>
      <w:r>
        <w:rPr/>
        <w:t>Домашни посещения на ОПЛ – осигуряване на адаптирани и продължителни грижи за възрастния човек у дома му. Домашните грижи се осъществяват от социални или медицински специалисти под ръководството и наставленията на ОПЛ.</w:t>
      </w:r>
    </w:p>
    <w:p>
      <w:pPr>
        <w:pStyle w:val="Normal"/>
        <w:numPr>
          <w:ilvl w:val="0"/>
          <w:numId w:val="11"/>
        </w:numPr>
        <w:spacing w:lineRule="auto" w:line="240"/>
        <w:rPr>
          <w:i/>
          <w:i/>
        </w:rPr>
      </w:pPr>
      <w:r>
        <w:rPr/>
        <w:t>Насочване на нуждаещите се за хоспитализация.</w:t>
      </w:r>
    </w:p>
    <w:p>
      <w:pPr>
        <w:pStyle w:val="Normal"/>
        <w:numPr>
          <w:ilvl w:val="0"/>
          <w:numId w:val="11"/>
        </w:numPr>
        <w:spacing w:lineRule="auto" w:line="240"/>
        <w:rPr>
          <w:i/>
          <w:i/>
        </w:rPr>
      </w:pPr>
      <w:r>
        <w:rPr/>
        <w:t>Насочване към хосписи на нуждаещите се лица.</w:t>
      </w:r>
    </w:p>
    <w:p>
      <w:pPr>
        <w:pStyle w:val="Normal"/>
        <w:numPr>
          <w:ilvl w:val="0"/>
          <w:numId w:val="11"/>
        </w:numPr>
        <w:spacing w:lineRule="auto" w:line="240"/>
        <w:rPr>
          <w:i/>
          <w:i/>
        </w:rPr>
      </w:pPr>
      <w:r>
        <w:rPr/>
        <w:t xml:space="preserve">Насочване към домове за медико-социални грижи. </w:t>
      </w:r>
    </w:p>
    <w:p>
      <w:pPr>
        <w:pStyle w:val="Normal"/>
        <w:numPr>
          <w:ilvl w:val="0"/>
          <w:numId w:val="11"/>
        </w:numPr>
        <w:spacing w:lineRule="auto" w:line="240"/>
        <w:rPr>
          <w:i/>
          <w:i/>
        </w:rPr>
      </w:pPr>
      <w:r>
        <w:rPr/>
        <w:t>Посещениие в домовете за медико-социални грижи в района на практиката, ако настанените  в дома здравноосигурени лица са записани в пациентската листа на ОПЛ.</w:t>
      </w:r>
    </w:p>
    <w:p>
      <w:pPr>
        <w:pStyle w:val="Normal"/>
        <w:numPr>
          <w:ilvl w:val="0"/>
          <w:numId w:val="11"/>
        </w:numPr>
        <w:spacing w:lineRule="auto" w:line="240"/>
        <w:rPr>
          <w:i/>
          <w:i/>
        </w:rPr>
      </w:pPr>
      <w:r>
        <w:rPr/>
        <w:t xml:space="preserve">Провеждане на рехабилитация и лечебна физкултура, която се извършва от ОПЛ, наето от него помощен медицински персонал и от рехабилитатор. </w:t>
      </w:r>
    </w:p>
    <w:p>
      <w:pPr>
        <w:pStyle w:val="Normal"/>
        <w:numPr>
          <w:ilvl w:val="0"/>
          <w:numId w:val="11"/>
        </w:numPr>
        <w:spacing w:lineRule="auto" w:line="240"/>
        <w:rPr>
          <w:i/>
          <w:i/>
        </w:rPr>
      </w:pPr>
      <w:r>
        <w:rPr/>
        <w:t>Осигуряване на специалисти за консултативна помощ на нуждаещите се.</w:t>
      </w:r>
    </w:p>
    <w:p>
      <w:pPr>
        <w:pStyle w:val="Normal"/>
        <w:numPr>
          <w:ilvl w:val="0"/>
          <w:numId w:val="11"/>
        </w:numPr>
        <w:spacing w:lineRule="auto" w:line="240"/>
        <w:rPr>
          <w:i/>
          <w:i/>
        </w:rPr>
      </w:pPr>
      <w:r>
        <w:rPr/>
        <w:t>Извършване на изследвания, които могат да бъдат задължителни ( ЕКГ, измерване на артелиално налягане, ПКК, изследване на кръвна захар и на урина – албумин и седимент) и по показания ( изпращане на Ro-графия, изследване на очни дъна, биохимични изследвания).</w:t>
      </w:r>
    </w:p>
    <w:p>
      <w:pPr>
        <w:pStyle w:val="Normal"/>
        <w:spacing w:lineRule="auto" w:line="240"/>
        <w:ind w:left="360" w:hanging="0"/>
        <w:rPr/>
      </w:pPr>
      <w:r>
        <w:rPr/>
        <w:t>Общопрактикуващите лекари са задължени да полагат по-специални грижи за хронично болните, за терминално болните над 65 години, които се намират в последния стадий на хроничното заболяване и са почти или напълно инвалидизирани и изцяло зависими от околните. Стратегията за укрепване на здравето, за предотвратяване на заболяванията и намаляване на преждевременната смърт при старите хора трябва да се основава на осигуряването на най-благоприятни условия за независим и целесъобразен живот по време на старостта за увеличаване на броя на активните и дееспособни стари хора. В това отношение много съществена е ролята на мерките срещу факторите, които ограничават независимостта на старите хора – фактори, свързани със заболяване или с такива от социално и психологическо естество.</w:t>
      </w:r>
    </w:p>
    <w:p>
      <w:pPr>
        <w:pStyle w:val="Heading1"/>
        <w:rPr/>
      </w:pPr>
      <w:bookmarkStart w:id="24" w:name="__RefHeading___Toc89859685"/>
      <w:bookmarkEnd w:id="24"/>
      <w:r>
        <w:rPr/>
        <w:t>Шеста тема</w:t>
        <w:br/>
        <w:t>геронтопсихологични основи на герагогиката</w:t>
      </w:r>
    </w:p>
    <w:p>
      <w:pPr>
        <w:pStyle w:val="Heading2"/>
        <w:rPr>
          <w:lang w:val="bg-BG"/>
        </w:rPr>
      </w:pPr>
      <w:bookmarkStart w:id="25" w:name="__RefHeading___Toc89859686"/>
      <w:r>
        <w:rPr/>
        <w:t>6.1. За предмета на геронтопсихологията</w:t>
      </w:r>
      <w:bookmarkEnd w:id="25"/>
      <w:r>
        <w:rPr/>
        <w:t xml:space="preserve"> </w:t>
      </w:r>
    </w:p>
    <w:p>
      <w:pPr>
        <w:pStyle w:val="Heading3"/>
        <w:jc w:val="both"/>
        <w:rPr/>
      </w:pPr>
      <w:r>
        <w:rPr>
          <w:lang w:val="bg-BG"/>
        </w:rPr>
        <w:t>Геронтопсихологията</w:t>
      </w:r>
      <w:r>
        <w:rPr>
          <w:b w:val="false"/>
          <w:lang w:val="bg-BG"/>
        </w:rPr>
        <w:t xml:space="preserve"> е  сравнително млада наука, макар че геронтологията и психологията като самостоятелни отрасли на познанието  имат дълго минало. Детската психология е обект на интензивни проучвания още през втората половина на ХІХ век. Психическото развитие на възрастните започва да се изучава  сравнително по-късно. През ХХ век в психологическата наука наред с детската психология постепенно се обособяват </w:t>
      </w:r>
      <w:r>
        <w:rPr>
          <w:lang w:val="bg-BG"/>
        </w:rPr>
        <w:t>акмеологията</w:t>
      </w:r>
      <w:r>
        <w:rPr>
          <w:b w:val="false"/>
          <w:lang w:val="bg-BG"/>
        </w:rPr>
        <w:t xml:space="preserve"> (от “акме” – връх на творчеството, разцвет на дарованията), която установява закономерностите на творческите постижения в периода на зрелостта, и </w:t>
      </w:r>
      <w:r>
        <w:rPr>
          <w:lang w:val="bg-BG"/>
        </w:rPr>
        <w:t>геронтопсихологията,</w:t>
      </w:r>
      <w:r>
        <w:rPr>
          <w:b w:val="false"/>
          <w:lang w:val="bg-BG"/>
        </w:rPr>
        <w:t xml:space="preserve"> която има за обект психическите процеси в напреднала и старческа възраст. </w:t>
      </w:r>
    </w:p>
    <w:p>
      <w:pPr>
        <w:pStyle w:val="Heading3"/>
        <w:jc w:val="both"/>
        <w:rPr/>
      </w:pPr>
      <w:r>
        <w:rPr>
          <w:b w:val="false"/>
          <w:lang w:val="bg-BG"/>
        </w:rPr>
        <w:t xml:space="preserve">Както изтъква И.Х. </w:t>
      </w:r>
      <w:r>
        <w:rPr>
          <w:lang w:val="bg-BG"/>
        </w:rPr>
        <w:t>Петров,</w:t>
      </w:r>
      <w:r>
        <w:rPr>
          <w:b w:val="false"/>
          <w:lang w:val="bg-BG"/>
        </w:rPr>
        <w:t xml:space="preserve"> първите изследвания по геронтопсихология се появяват  във втората четвърт на ХХ век. Един от пионерите на това ново направление е G.</w:t>
      </w:r>
      <w:r>
        <w:rPr>
          <w:lang w:val="bg-BG"/>
        </w:rPr>
        <w:t xml:space="preserve"> Stanley Hall</w:t>
      </w:r>
      <w:r>
        <w:rPr>
          <w:b w:val="false"/>
          <w:lang w:val="bg-BG"/>
        </w:rPr>
        <w:t>, който през 1922 г. издава първата книга по геронтопсихология, озаглавена “Senescence: the second half of life”. Геронтопсихологията по това време следва основните тенденции в развитието на общата психология, но същевременно е силно повлияна от биологията, социологията и медицината (най-вече от психопатологията). Насоката на първите системни геронтопсихологични търсения се определя от господстващата в края на ХІХ и началото на ХХ век ориентация на психологичните изследвания преди всичко към сетивните и възприятните функции – поле, в което са оставили трайна диря класиците G. T</w:t>
      </w:r>
      <w:r>
        <w:rPr>
          <w:lang w:val="bg-BG"/>
        </w:rPr>
        <w:t xml:space="preserve">. Fechner, </w:t>
      </w:r>
      <w:r>
        <w:rPr>
          <w:b w:val="false"/>
          <w:lang w:val="bg-BG"/>
        </w:rPr>
        <w:t>H.</w:t>
      </w:r>
      <w:r>
        <w:rPr>
          <w:lang w:val="bg-BG"/>
        </w:rPr>
        <w:t xml:space="preserve"> Helmholz, </w:t>
      </w:r>
      <w:r>
        <w:rPr>
          <w:b w:val="false"/>
          <w:lang w:val="bg-BG"/>
        </w:rPr>
        <w:t>E.</w:t>
      </w:r>
      <w:r>
        <w:rPr>
          <w:lang w:val="bg-BG"/>
        </w:rPr>
        <w:t xml:space="preserve"> Hering, </w:t>
      </w:r>
      <w:r>
        <w:rPr>
          <w:b w:val="false"/>
          <w:lang w:val="bg-BG"/>
        </w:rPr>
        <w:t>W.</w:t>
      </w:r>
      <w:r>
        <w:rPr>
          <w:lang w:val="bg-BG"/>
        </w:rPr>
        <w:t xml:space="preserve"> Wundt</w:t>
      </w:r>
      <w:r>
        <w:rPr>
          <w:b w:val="false"/>
          <w:lang w:val="bg-BG"/>
        </w:rPr>
        <w:t>. Друга предпочитана област са психомоторните изследвания . Редица геронтопсихолози доразвиват психометричния подход,  започнат от F.</w:t>
      </w:r>
      <w:r>
        <w:rPr>
          <w:lang w:val="bg-BG"/>
        </w:rPr>
        <w:t xml:space="preserve"> Galton</w:t>
      </w:r>
      <w:r>
        <w:rPr>
          <w:b w:val="false"/>
          <w:lang w:val="bg-BG"/>
        </w:rPr>
        <w:t xml:space="preserve">. Поставя се началото и на системните изследвания върху възрастовото развитие и упадъка на интелектуалните възможности. Социално-психологическите изследвания и теории, които получават значително развитие от тридесетте години на ХХ век насам, повлияват геронтопсихологията само в определени области: адаптацията, ролевите промени и интересите на старите хора. Тези въпроси се разработват в Чикагския университет от E. W. </w:t>
      </w:r>
      <w:r>
        <w:rPr>
          <w:lang w:val="bg-BG"/>
        </w:rPr>
        <w:t>Burgess</w:t>
      </w:r>
      <w:r>
        <w:rPr>
          <w:b w:val="false"/>
          <w:lang w:val="bg-BG"/>
        </w:rPr>
        <w:t xml:space="preserve">, R. J. </w:t>
      </w:r>
      <w:r>
        <w:rPr>
          <w:lang w:val="bg-BG"/>
        </w:rPr>
        <w:t>Havighurst</w:t>
      </w:r>
      <w:r>
        <w:rPr>
          <w:b w:val="false"/>
          <w:lang w:val="bg-BG"/>
        </w:rPr>
        <w:t xml:space="preserve">, W. E. </w:t>
      </w:r>
      <w:r>
        <w:rPr>
          <w:lang w:val="bg-BG"/>
        </w:rPr>
        <w:t>Henry</w:t>
      </w:r>
      <w:r>
        <w:rPr>
          <w:b w:val="false"/>
          <w:lang w:val="bg-BG"/>
        </w:rPr>
        <w:t xml:space="preserve">, Bernice L. </w:t>
      </w:r>
      <w:r>
        <w:rPr>
          <w:lang w:val="bg-BG"/>
        </w:rPr>
        <w:t>Neugarten</w:t>
      </w:r>
      <w:r>
        <w:rPr>
          <w:b w:val="false"/>
          <w:lang w:val="bg-BG"/>
        </w:rPr>
        <w:t xml:space="preserve"> и др. Впоследствие постепенно нараства интересът и към генезиса на познавателните процеси (моделите на А.Р. </w:t>
      </w:r>
      <w:r>
        <w:rPr>
          <w:lang w:val="bg-BG"/>
        </w:rPr>
        <w:t>Лурия</w:t>
      </w:r>
      <w:r>
        <w:rPr>
          <w:b w:val="false"/>
          <w:lang w:val="bg-BG"/>
        </w:rPr>
        <w:t xml:space="preserve"> и А.А. </w:t>
      </w:r>
      <w:r>
        <w:rPr>
          <w:lang w:val="bg-BG"/>
        </w:rPr>
        <w:t>Леонтиев</w:t>
      </w:r>
      <w:r>
        <w:rPr>
          <w:b w:val="false"/>
          <w:lang w:val="bg-BG"/>
        </w:rPr>
        <w:t xml:space="preserve">), както и към личностните изменения при възрастните и старите хора. Характерно за геронтопсихологическия подход е тясната му връзка с медико-биологическия и социологическия анализ. Броят на публикациите по тази проблематика до края на Втората световна война обаче е твърде малък. Той значително нараства през втората половина на ХХ век (36, с.3-5). </w:t>
      </w:r>
    </w:p>
    <w:p>
      <w:pPr>
        <w:pStyle w:val="Heading3"/>
        <w:jc w:val="both"/>
        <w:rPr/>
      </w:pPr>
      <w:r>
        <w:rPr>
          <w:b w:val="false"/>
          <w:lang w:val="bg-BG"/>
        </w:rPr>
        <w:t xml:space="preserve">Осъществените през този период изследвания в областта на геронтологическата психология се отличават с твърде голямото си разнообразие. Важен дял за изясняване механизмите на стареене имат руските учени Б. Г. </w:t>
      </w:r>
      <w:r>
        <w:rPr>
          <w:lang w:val="bg-BG"/>
        </w:rPr>
        <w:t>Ананиев (</w:t>
      </w:r>
      <w:r>
        <w:rPr>
          <w:b w:val="false"/>
          <w:lang w:val="bg-BG"/>
        </w:rPr>
        <w:t>6), Е. Ф</w:t>
      </w:r>
      <w:r>
        <w:rPr>
          <w:lang w:val="bg-BG"/>
        </w:rPr>
        <w:t>. Рибалко</w:t>
      </w:r>
      <w:r>
        <w:rPr>
          <w:b w:val="false"/>
          <w:lang w:val="bg-BG"/>
        </w:rPr>
        <w:t xml:space="preserve"> (44), М. Д. </w:t>
      </w:r>
      <w:r>
        <w:rPr>
          <w:lang w:val="bg-BG"/>
        </w:rPr>
        <w:t>Александрова</w:t>
      </w:r>
      <w:r>
        <w:rPr>
          <w:b w:val="false"/>
          <w:lang w:val="bg-BG"/>
        </w:rPr>
        <w:t xml:space="preserve"> (2), В. Д. </w:t>
      </w:r>
      <w:r>
        <w:rPr>
          <w:lang w:val="bg-BG"/>
        </w:rPr>
        <w:t xml:space="preserve">Шапиро </w:t>
      </w:r>
      <w:r>
        <w:rPr>
          <w:b w:val="false"/>
          <w:lang w:val="bg-BG"/>
        </w:rPr>
        <w:t xml:space="preserve">(61) и др. В резултат на проведени под ръководството на Б. Г. Ананиев  комплексни изследвания, се установи, че постепенното хетерохронно разпространение на инволюционните процеси е основната особеност на последния период на човешкия живот. Микроинволюционните изменения възникват много по-рано от настъпването на старостта. В съответствие с теорията за хетерохронността Е.Ф. </w:t>
      </w:r>
      <w:r>
        <w:rPr>
          <w:lang w:val="bg-BG"/>
        </w:rPr>
        <w:t xml:space="preserve">Рибалко </w:t>
      </w:r>
      <w:r>
        <w:rPr>
          <w:b w:val="false"/>
          <w:lang w:val="bg-BG"/>
        </w:rPr>
        <w:t xml:space="preserve">подчертава, че едновременно с инволюционните процеси на всички нива на човешката организация на жизнените процеси и дейности настъпват изменения и новообразувания от прогресивен характер, насочени към преодоляване на деструктивните явления в геронтогенеза. Един от представителите на социално-психологическото направление в руската геронтология М.Д. </w:t>
      </w:r>
      <w:r>
        <w:rPr>
          <w:lang w:val="bg-BG"/>
        </w:rPr>
        <w:t xml:space="preserve">Александрова </w:t>
      </w:r>
      <w:r>
        <w:rPr>
          <w:b w:val="false"/>
          <w:lang w:val="bg-BG"/>
        </w:rPr>
        <w:t xml:space="preserve">(2) обръща внимание на обстоятелството, че определено влияние върху съхранеността и развитието на различни страни на интелекта в периода на геронтогенеза оказват образуването на общите и специалните способности, интересите. В периода на пенсионната възраст са добре съхранени тези функции, които са били за възрастните хора главен психически фактор в професионалната дейност (3, с.12). Определен принос за разработване на геронтопсихологическата проблематика имат българските учени проф. Г. </w:t>
      </w:r>
      <w:r>
        <w:rPr>
          <w:lang w:val="bg-BG"/>
        </w:rPr>
        <w:t>Йолов</w:t>
      </w:r>
      <w:r>
        <w:rPr>
          <w:b w:val="false"/>
          <w:lang w:val="bg-BG"/>
        </w:rPr>
        <w:t xml:space="preserve">, проф. Х. </w:t>
      </w:r>
      <w:r>
        <w:rPr>
          <w:lang w:val="bg-BG"/>
        </w:rPr>
        <w:t>Силгиджиян,</w:t>
      </w:r>
      <w:r>
        <w:rPr>
          <w:b w:val="false"/>
          <w:lang w:val="bg-BG"/>
        </w:rPr>
        <w:t xml:space="preserve"> проф. Н. </w:t>
      </w:r>
      <w:r>
        <w:rPr>
          <w:lang w:val="bg-BG"/>
        </w:rPr>
        <w:t xml:space="preserve">Алексанрова, </w:t>
      </w:r>
      <w:r>
        <w:rPr>
          <w:b w:val="false"/>
          <w:lang w:val="bg-BG"/>
        </w:rPr>
        <w:t xml:space="preserve">проф. Хр. </w:t>
      </w:r>
      <w:r>
        <w:rPr>
          <w:lang w:val="bg-BG"/>
        </w:rPr>
        <w:t>Христозов</w:t>
      </w:r>
      <w:r>
        <w:rPr>
          <w:b w:val="false"/>
          <w:lang w:val="bg-BG"/>
        </w:rPr>
        <w:t xml:space="preserve">, геронтопсихологът д-р И. Х.  </w:t>
      </w:r>
      <w:r>
        <w:rPr>
          <w:lang w:val="bg-BG"/>
        </w:rPr>
        <w:t>Петров</w:t>
      </w:r>
      <w:r>
        <w:rPr>
          <w:b w:val="false"/>
          <w:lang w:val="bg-BG"/>
        </w:rPr>
        <w:t xml:space="preserve">, както и лекарите проф. Г. </w:t>
      </w:r>
      <w:r>
        <w:rPr>
          <w:lang w:val="bg-BG"/>
        </w:rPr>
        <w:t>Стойнев</w:t>
      </w:r>
      <w:r>
        <w:rPr>
          <w:b w:val="false"/>
          <w:lang w:val="bg-BG"/>
        </w:rPr>
        <w:t xml:space="preserve">, Т. </w:t>
      </w:r>
      <w:r>
        <w:rPr>
          <w:lang w:val="bg-BG"/>
        </w:rPr>
        <w:t>Ташев</w:t>
      </w:r>
      <w:r>
        <w:rPr>
          <w:b w:val="false"/>
          <w:lang w:val="bg-BG"/>
        </w:rPr>
        <w:t xml:space="preserve">, Ст. </w:t>
      </w:r>
      <w:r>
        <w:rPr>
          <w:lang w:val="bg-BG"/>
        </w:rPr>
        <w:t>Визев</w:t>
      </w:r>
      <w:r>
        <w:rPr>
          <w:b w:val="false"/>
          <w:lang w:val="bg-BG"/>
        </w:rPr>
        <w:t xml:space="preserve">, Др. </w:t>
      </w:r>
      <w:r>
        <w:rPr>
          <w:lang w:val="bg-BG"/>
        </w:rPr>
        <w:t>Матеев</w:t>
      </w:r>
      <w:r>
        <w:rPr>
          <w:b w:val="false"/>
          <w:lang w:val="bg-BG"/>
        </w:rPr>
        <w:t xml:space="preserve">, Ж. </w:t>
      </w:r>
      <w:r>
        <w:rPr>
          <w:lang w:val="bg-BG"/>
        </w:rPr>
        <w:t>Ламбрев</w:t>
      </w:r>
      <w:r>
        <w:rPr>
          <w:b w:val="false"/>
          <w:lang w:val="bg-BG"/>
        </w:rPr>
        <w:t xml:space="preserve"> и др. Особено големи постижения в областта на геронтопсихологията имат редица чуждестранни автори като например J. E. </w:t>
      </w:r>
      <w:r>
        <w:rPr>
          <w:lang w:val="bg-BG"/>
        </w:rPr>
        <w:t>Birren</w:t>
      </w:r>
      <w:r>
        <w:rPr>
          <w:b w:val="false"/>
          <w:lang w:val="bg-BG"/>
        </w:rPr>
        <w:t xml:space="preserve">, J. M. A. </w:t>
      </w:r>
      <w:r>
        <w:rPr>
          <w:lang w:val="bg-BG"/>
        </w:rPr>
        <w:t>Munnichs</w:t>
      </w:r>
      <w:r>
        <w:rPr>
          <w:b w:val="false"/>
          <w:lang w:val="bg-BG"/>
        </w:rPr>
        <w:t xml:space="preserve">, K. F. </w:t>
      </w:r>
      <w:r>
        <w:rPr>
          <w:lang w:val="bg-BG"/>
        </w:rPr>
        <w:t>Riegel</w:t>
      </w:r>
      <w:r>
        <w:rPr>
          <w:b w:val="false"/>
          <w:lang w:val="bg-BG"/>
        </w:rPr>
        <w:t xml:space="preserve">, J. P. </w:t>
      </w:r>
      <w:r>
        <w:rPr>
          <w:lang w:val="bg-BG"/>
        </w:rPr>
        <w:t>Abrahams</w:t>
      </w:r>
      <w:r>
        <w:rPr>
          <w:b w:val="false"/>
          <w:lang w:val="bg-BG"/>
        </w:rPr>
        <w:t xml:space="preserve">, R. </w:t>
      </w:r>
      <w:r>
        <w:rPr>
          <w:lang w:val="bg-BG"/>
        </w:rPr>
        <w:t>Larson</w:t>
      </w:r>
      <w:r>
        <w:rPr>
          <w:b w:val="false"/>
          <w:lang w:val="bg-BG"/>
        </w:rPr>
        <w:t xml:space="preserve"> и много други. В последно време с голяма популярност се ползва т.нар. петфакторен модел на личностната структура на P. </w:t>
      </w:r>
      <w:r>
        <w:rPr>
          <w:lang w:val="bg-BG"/>
        </w:rPr>
        <w:t xml:space="preserve">Costa </w:t>
      </w:r>
      <w:r>
        <w:rPr>
          <w:b w:val="false"/>
          <w:lang w:val="bg-BG"/>
        </w:rPr>
        <w:t>и  Mc</w:t>
      </w:r>
      <w:r>
        <w:rPr>
          <w:lang w:val="bg-BG"/>
        </w:rPr>
        <w:t>Crae</w:t>
      </w:r>
      <w:r>
        <w:rPr>
          <w:b w:val="false"/>
          <w:lang w:val="bg-BG"/>
        </w:rPr>
        <w:t>.  Съгласно този модел на индивидуалните различия на личността, отделните личности имат постоянни и устойчиви характеристики, които оказват определено влияние върху мислите, чувствата и поведенческите актове  на старите хора. Във връзка с прогресивното нарастване на населението от стари хора на земята изследователските усилия на много учени са насочени към акцентиране на адаптационните механизми на личността с нарастването на възрастта.</w:t>
      </w:r>
    </w:p>
    <w:p>
      <w:pPr>
        <w:pStyle w:val="Heading3"/>
        <w:jc w:val="both"/>
        <w:rPr/>
      </w:pPr>
      <w:r>
        <w:rPr>
          <w:b w:val="false"/>
          <w:lang w:val="bg-BG"/>
        </w:rPr>
        <w:t xml:space="preserve">Както изтъква проф. Н. </w:t>
      </w:r>
      <w:r>
        <w:rPr>
          <w:lang w:val="bg-BG"/>
        </w:rPr>
        <w:t>Александрова</w:t>
      </w:r>
      <w:r>
        <w:rPr>
          <w:b w:val="false"/>
          <w:lang w:val="bg-BG"/>
        </w:rPr>
        <w:t xml:space="preserve">, геронтологическата психология се интересува не само от негативните възрастови промени на психологическите особености на стария човек. Не по-малко важно е да се знае, възникват ли някакви положителни изменения в личността на старите хора, кои техни  личностно-психологически характеристики имат значение за тяхната адаптация в променените условия и за увеличаване продължителността на живота им. Авторката обособява три основни направления в теоретичните изследвания на възрастните и старите хора: </w:t>
      </w:r>
    </w:p>
    <w:p>
      <w:pPr>
        <w:pStyle w:val="Heading3"/>
        <w:numPr>
          <w:ilvl w:val="0"/>
          <w:numId w:val="43"/>
        </w:numPr>
        <w:jc w:val="both"/>
        <w:rPr/>
      </w:pPr>
      <w:r>
        <w:rPr>
          <w:b w:val="false"/>
          <w:lang w:val="bg-BG"/>
        </w:rPr>
        <w:t>първото направление се отнася до разработване на експериментални постановки, за да бъде разбрано как и какво се развива в периода на късния живот, като усилията на изследователите са насочени към измерване на интелекта, на социалната интелигентност и мъдрост на този възрастов етап. Този подход по своята същност е психометричен и обхваща батерия от стандартизирани тестове, чиято процедура се провежда под строг контрол и е насочена към разкриване на индивидуалните различия на когнитивното изпълнение на стимулния материал;</w:t>
      </w:r>
    </w:p>
    <w:p>
      <w:pPr>
        <w:pStyle w:val="Heading3"/>
        <w:numPr>
          <w:ilvl w:val="0"/>
          <w:numId w:val="43"/>
        </w:numPr>
        <w:jc w:val="both"/>
        <w:rPr>
          <w:b w:val="false"/>
          <w:b w:val="false"/>
          <w:lang w:val="bg-BG"/>
        </w:rPr>
      </w:pPr>
      <w:r>
        <w:rPr>
          <w:b w:val="false"/>
          <w:lang w:val="bg-BG"/>
        </w:rPr>
        <w:t xml:space="preserve">второто направление за изучаване се отнася към информационно-процесуалната перспектива в психологията. Този подход е насочен към разкриване на специфичните компоненти на човешкото мислене на ниво, което илюстрира съотношението между актуалната поведенческа проява и невромеханизмите ( в частност изучаване на проблема за “общото забавяне” на когнитивните процеси и  ролята на компенсаторните механизми); </w:t>
      </w:r>
    </w:p>
    <w:p>
      <w:pPr>
        <w:pStyle w:val="Heading3"/>
        <w:numPr>
          <w:ilvl w:val="0"/>
          <w:numId w:val="43"/>
        </w:numPr>
        <w:jc w:val="both"/>
        <w:rPr/>
      </w:pPr>
      <w:r>
        <w:rPr>
          <w:b w:val="false"/>
          <w:lang w:val="bg-BG"/>
        </w:rPr>
        <w:t>третото направление -  това е социално-психологическият подход. Съгласно този подход възрастта сама  по себе си не е обяснение за психическото изменение, а е необходимо да се акцентира върху наблюденията и изследванията на личността от всички възрасти и всички обясняващи нейни изменения: фактори, процеси, интереси, умения и пр.(3, с. 18-20).</w:t>
      </w:r>
    </w:p>
    <w:p>
      <w:pPr>
        <w:pStyle w:val="Heading2"/>
        <w:rPr/>
      </w:pPr>
      <w:bookmarkStart w:id="26" w:name="__RefHeading___Toc89859687"/>
      <w:r>
        <w:rPr/>
        <w:t>6.2. Стареене на психиката в третата възраст</w:t>
      </w:r>
      <w:bookmarkEnd w:id="26"/>
      <w:r>
        <w:rPr/>
        <w:t xml:space="preserve">  </w:t>
      </w:r>
    </w:p>
    <w:p>
      <w:pPr>
        <w:pStyle w:val="Heading3"/>
        <w:jc w:val="both"/>
        <w:rPr/>
      </w:pPr>
      <w:r>
        <w:rPr>
          <w:lang w:val="bg-BG"/>
        </w:rPr>
        <w:t>Психичните  промени</w:t>
      </w:r>
      <w:r>
        <w:rPr>
          <w:b w:val="false"/>
          <w:lang w:val="bg-BG"/>
        </w:rPr>
        <w:t xml:space="preserve">, които се наблюдават по време на   стареенето, са твърде </w:t>
      </w:r>
      <w:r>
        <w:rPr>
          <w:lang w:val="bg-BG"/>
        </w:rPr>
        <w:t>разнообразни</w:t>
      </w:r>
      <w:r>
        <w:rPr>
          <w:b w:val="false"/>
          <w:lang w:val="bg-BG"/>
        </w:rPr>
        <w:t xml:space="preserve">. Те засягат </w:t>
      </w:r>
      <w:r>
        <w:rPr>
          <w:lang w:val="bg-BG"/>
        </w:rPr>
        <w:t>всички области на психичната дейност</w:t>
      </w:r>
      <w:r>
        <w:rPr>
          <w:b w:val="false"/>
          <w:lang w:val="bg-BG"/>
        </w:rPr>
        <w:t xml:space="preserve"> (психомоторната, познавателната и общоличностната сфери). Старостта е не само последният стадий, а и завършеният “резултат” цялостното биологично, психично и социално развитие на отделния човек. Психофизиологичното единство на организма достига до своята несъмнено най-сложна изграденост в годините на късната зрелост и във възрастта на стареенето. Старостта  настъпва бавно и неусетно. Стареенето  е едновременно процес на деструкция (инволюция) и процес на продължаващо развитие. Според редица учени, инволютивни процеси се наблюдават в организма на човека в течение на целия негов живот, дори още в ембрионалния стадий на развитие. Това дала основание за съществуването на афоризма “човек се ражда вече достатъчно поостарял”.</w:t>
      </w:r>
    </w:p>
    <w:p>
      <w:pPr>
        <w:pStyle w:val="Heading3"/>
        <w:jc w:val="both"/>
        <w:rPr/>
      </w:pPr>
      <w:r>
        <w:rPr>
          <w:b w:val="false"/>
          <w:lang w:val="bg-BG"/>
        </w:rPr>
        <w:t xml:space="preserve">По време  на стареенето обаче </w:t>
      </w:r>
      <w:r>
        <w:rPr>
          <w:lang w:val="bg-BG"/>
        </w:rPr>
        <w:t>процесите на регресия</w:t>
      </w:r>
      <w:r>
        <w:rPr>
          <w:b w:val="false"/>
          <w:lang w:val="bg-BG"/>
        </w:rPr>
        <w:t xml:space="preserve"> значително се засилват. Едновременно обаче с атрофичните промени в органите и тъканите възникват и нови </w:t>
      </w:r>
      <w:r>
        <w:rPr>
          <w:lang w:val="bg-BG"/>
        </w:rPr>
        <w:t>приспособителни механизми</w:t>
      </w:r>
      <w:r>
        <w:rPr>
          <w:b w:val="false"/>
          <w:lang w:val="bg-BG"/>
        </w:rPr>
        <w:t xml:space="preserve">, осигуряващи съществуването на човешкия организъм при определени условия.   При това значението на дегенеративните изменения на отделните елементи или подсистеми на  организма е твърде различно. Разрушаването на някои от тях твърде често дава първичен материал за изграждане и функциониране на други. Така например стареенето на </w:t>
      </w:r>
      <w:r>
        <w:rPr>
          <w:lang w:val="bg-BG"/>
        </w:rPr>
        <w:t>централната нервна</w:t>
      </w:r>
      <w:r>
        <w:rPr>
          <w:b w:val="false"/>
          <w:lang w:val="bg-BG"/>
        </w:rPr>
        <w:t xml:space="preserve"> </w:t>
      </w:r>
      <w:r>
        <w:rPr>
          <w:lang w:val="bg-BG"/>
        </w:rPr>
        <w:t>система</w:t>
      </w:r>
      <w:r>
        <w:rPr>
          <w:b w:val="false"/>
          <w:lang w:val="bg-BG"/>
        </w:rPr>
        <w:t xml:space="preserve"> има редица особености. Според редица изследвания с нарастването на възрастта броят на нервните клетки закономерно се намалява, но в различните области на мозъчната кора това намаляване е различно. Мозъчната маса в дълбока старост намалява с 20-30 %, намаляват гънките на мозъка, но се увеличават браздите, нараства плътността на мозъка.  Двата основни процеса – възбуждане и задържане – постепенно отслабват, особено задържането. Отслабва и взаимодействието между кора и подкорие.Продуктивността на умствената дейност се снижава.  С тези и редица други изменения се обясняват някои реакции в поведението на стария човек. Той често става нетърпелив, несдържан, лесно раздразнителен, избухлив, емоционално лабилен, склонен към импулсивни действия. Понякога е твърде словоохотлив. Наблюдава се намаляване на психическата активност, както и намалена способност за усвояване на нова информация. В старческата възраст намалява общият тонус, в резултат на което се снижава психическата и физическата активност. Старите хора много бързо се уморяват. Те обикновено трудно изпълняват задачи, изискващи изобретателност, въображение, творческо мислене, освен ако не са се посветили на такава дейност. У мнозина у тях се наблюдава депресивно настроение.    Възрастовите изменения в централната нервна система протичат хетерохронно с нееднаква скорост на развитие и с различни срокове. С напредването на годините  индивидуалните различия значително се задълбочават. За това допринася взаимното влияние и обусловеност на различните биологични и социални фактори, свързаността в индивидуалното съществуване на наследственост, вроденост, придобитост, влияние на околната среда, компесаторно-приспособителни механизми, съпътстващите стареенето соматогенни и психогенни болестни увреждания и пр. </w:t>
      </w:r>
    </w:p>
    <w:p>
      <w:pPr>
        <w:pStyle w:val="Heading3"/>
        <w:jc w:val="both"/>
        <w:rPr/>
      </w:pPr>
      <w:r>
        <w:rPr>
          <w:b w:val="false"/>
          <w:lang w:val="bg-BG"/>
        </w:rPr>
        <w:t xml:space="preserve">С други думи, остаряването по правило води до дивергиране, а в по-малка степен – до уеднаквяване на личностите. Старите хора са в много по-голяма степен разнородна група в сравнение с предшестващите възрастови групи, в съответствие с преминатия от тях дълъг жизнен път. Върху широкия диапазон от индивидуални различия оказват влияние не само комплексните био-социални въздействия, а и редица болестно обусловени увреждания на централната нервна система, които в едни случаи довеждат до заостряне на тези различия, а в други – до нивелирането им. В зависимост от редица показатели за морфологичните и функционалните възрастови промени в централната нервна система на изследваните възрастни лица V.  </w:t>
      </w:r>
      <w:r>
        <w:rPr>
          <w:lang w:val="bg-BG"/>
        </w:rPr>
        <w:t>Korenchevsky</w:t>
      </w:r>
      <w:r>
        <w:rPr>
          <w:b w:val="false"/>
          <w:lang w:val="bg-BG"/>
        </w:rPr>
        <w:t xml:space="preserve"> (74) установява, че преобладават лицата с умерен упадък; при отделни индивиди упадъкът е минимален или почти липсва; също при отделни индивиди упадъкът е по-ярко изразен. </w:t>
      </w:r>
    </w:p>
    <w:p>
      <w:pPr>
        <w:pStyle w:val="Heading3"/>
        <w:jc w:val="both"/>
        <w:rPr/>
      </w:pPr>
      <w:r>
        <w:rPr>
          <w:b w:val="false"/>
          <w:lang w:val="bg-BG"/>
        </w:rPr>
        <w:t xml:space="preserve">Както изтъква И.Х. </w:t>
      </w:r>
      <w:r>
        <w:rPr>
          <w:lang w:val="bg-BG"/>
        </w:rPr>
        <w:t xml:space="preserve">Петров </w:t>
      </w:r>
      <w:r>
        <w:rPr>
          <w:b w:val="false"/>
          <w:lang w:val="bg-BG"/>
        </w:rPr>
        <w:t xml:space="preserve">(36, с. 7-9), пъстротата в индивидуалните различия по време на стареенето твърде често е свързана с преплитането на възрастовите изменения с дискретно или явно изразени болестни увреждания (най-често от кръга на широко разпространената мозъчна атеросклероза). Все още не е установена  рязка граница между </w:t>
      </w:r>
      <w:r>
        <w:rPr>
          <w:lang w:val="bg-BG"/>
        </w:rPr>
        <w:t>“възрастова норма”</w:t>
      </w:r>
      <w:r>
        <w:rPr>
          <w:b w:val="false"/>
          <w:lang w:val="bg-BG"/>
        </w:rPr>
        <w:t xml:space="preserve"> и </w:t>
      </w:r>
      <w:r>
        <w:rPr>
          <w:lang w:val="bg-BG"/>
        </w:rPr>
        <w:t>индивидуалните (патологичните)</w:t>
      </w:r>
      <w:r>
        <w:rPr>
          <w:b w:val="false"/>
          <w:lang w:val="bg-BG"/>
        </w:rPr>
        <w:t xml:space="preserve"> </w:t>
      </w:r>
      <w:r>
        <w:rPr>
          <w:lang w:val="bg-BG"/>
        </w:rPr>
        <w:t>отклонения.</w:t>
      </w:r>
      <w:r>
        <w:rPr>
          <w:b w:val="false"/>
          <w:lang w:val="bg-BG"/>
        </w:rPr>
        <w:t xml:space="preserve"> Нещо повече. В психологията и психопатологията на стареенето се продължава да се дискутира за или против качественото приравняване на сенилната деменция към естественовъзрастовия умствено-паметов упадък. В епидемиологично отношение не е достатъчно изяснено дали всеки не би получил старческо слабоумие, ако живее достатъчно дълго, т.е. дали старческото слабоумие не представлява изостряне в количествен преход на “нормалните” възрастови инволютивно-атрофични изменения. Малкото досега лонгитюдни проследявания показват, че далеч не всички стари хора с “начални признаци на интелектуален упадък” развиват в продължение на 10 години клинично изразено слабоумие. Освен това сенилната деменция е значително по-честа сред жените – факт, който не може да се обясни изцяло с по-голямата продължителност на живота им.</w:t>
      </w:r>
    </w:p>
    <w:p>
      <w:pPr>
        <w:pStyle w:val="Heading3"/>
        <w:jc w:val="both"/>
        <w:rPr/>
      </w:pPr>
      <w:r>
        <w:rPr>
          <w:b w:val="false"/>
          <w:lang w:val="bg-BG"/>
        </w:rPr>
        <w:t xml:space="preserve">Трябва да  подчертаем, че проблематиката, засягаща психичните промени на лицата в напреднала и старческа възраст у нас е все още незадоволително разработена. Поради това в следващите няколко подточки ще  очертаем само най-основните тенденции на психичните промени при стареенето, като се опираме главно на публикациите на  И.Х. </w:t>
      </w:r>
      <w:r>
        <w:rPr>
          <w:lang w:val="bg-BG"/>
        </w:rPr>
        <w:t>Петров</w:t>
      </w:r>
      <w:r>
        <w:rPr>
          <w:b w:val="false"/>
          <w:lang w:val="bg-BG"/>
        </w:rPr>
        <w:t xml:space="preserve"> (36), К.</w:t>
      </w:r>
      <w:r>
        <w:rPr>
          <w:lang w:val="bg-BG"/>
        </w:rPr>
        <w:t>Константинов</w:t>
      </w:r>
      <w:r>
        <w:rPr>
          <w:b w:val="false"/>
          <w:lang w:val="bg-BG"/>
        </w:rPr>
        <w:t xml:space="preserve"> и съавтори (26) , Л. </w:t>
      </w:r>
      <w:r>
        <w:rPr>
          <w:lang w:val="bg-BG"/>
        </w:rPr>
        <w:t>Георгиев</w:t>
      </w:r>
      <w:r>
        <w:rPr>
          <w:b w:val="false"/>
          <w:lang w:val="bg-BG"/>
        </w:rPr>
        <w:t xml:space="preserve"> (14), както и на един от трудовете на Н. </w:t>
      </w:r>
      <w:r>
        <w:rPr>
          <w:lang w:val="bg-BG"/>
        </w:rPr>
        <w:t>Александрова</w:t>
      </w:r>
      <w:r>
        <w:rPr>
          <w:b w:val="false"/>
          <w:lang w:val="bg-BG"/>
        </w:rPr>
        <w:t xml:space="preserve"> (3), относно промените в личностната субектност в напреднала и старческа възраст.</w:t>
      </w:r>
    </w:p>
    <w:p>
      <w:pPr>
        <w:pStyle w:val="Heading4"/>
        <w:rPr/>
      </w:pPr>
      <w:r>
        <w:rPr/>
        <w:t>6.2.1. Възрастови промени във възприятно-представната дейност</w:t>
      </w:r>
    </w:p>
    <w:p>
      <w:pPr>
        <w:pStyle w:val="Heading3"/>
        <w:jc w:val="both"/>
        <w:rPr/>
      </w:pPr>
      <w:r>
        <w:rPr>
          <w:b w:val="false"/>
          <w:lang w:val="bg-BG"/>
        </w:rPr>
        <w:t xml:space="preserve">Основните градивни единици на познавателната дейност са </w:t>
      </w:r>
      <w:r>
        <w:rPr>
          <w:lang w:val="bg-BG"/>
        </w:rPr>
        <w:t>усещанията</w:t>
      </w:r>
      <w:r>
        <w:rPr>
          <w:b w:val="false"/>
          <w:lang w:val="bg-BG"/>
        </w:rPr>
        <w:t xml:space="preserve"> и </w:t>
      </w:r>
      <w:r>
        <w:rPr>
          <w:lang w:val="bg-BG"/>
        </w:rPr>
        <w:t>възприятията</w:t>
      </w:r>
      <w:r>
        <w:rPr>
          <w:b w:val="false"/>
          <w:lang w:val="bg-BG"/>
        </w:rPr>
        <w:t xml:space="preserve">.  Промените, които настъпват в усещанията и възприятията на здравите хора от напреднала и старческа възраст се обясняват преди всичко с отслабването на сетивните им органи (рецепторите), както и със засилващите се атрофични процеси, засягащи и централните участъци на анализаторите. По своята същност рецепторите са нервни образувания и те търпят възрастови изменения на основата на общата атрофия на нервните клетки при стареенето. При зрението, слуха и другите сетива морфологично е доказано намаляването на количеството на възприемащите устройства и на тръгващите от тях нервни клетки. Постепенно се променя еластичността на стъкловидното тяло на окото, уплътняват се мембраните на вътрешното ухо, атрофират влакната на обонятелния нерв и пр. </w:t>
      </w:r>
    </w:p>
    <w:p>
      <w:pPr>
        <w:pStyle w:val="Heading3"/>
        <w:jc w:val="both"/>
        <w:rPr/>
      </w:pPr>
      <w:r>
        <w:rPr>
          <w:b w:val="false"/>
          <w:lang w:val="bg-BG"/>
        </w:rPr>
        <w:t xml:space="preserve">Характерна особеност на процеса на стареенето е всеобщото забавяне на реакциите в цялостната психомоторика, на всички дейности в човешкото поведение. В резултат на възрастови промени в определени мозъчни структури е налице намалено равнище на възбудимост на кората на големите полукълба, забавяне на скоростта на нервните импулси, влошаване на трофиката поради нарушаване на кръвоснабдяването и пр. Със стареенето скоростта на провеждане на нервните импулси се забавя както в сетивните, така и в двигателните периферни нерви. Промените в сетивната част на рефлексната дъга от своя страна също допринасят за ограничено постъпване и забавено анализиране на усещанията и възприятията. След около 70-години психомоторните възможности се изменят по-съществено, главно поради забавяне на реакциите и старият човек реагира по-бавно в усложнени ситуации и непривични условия. Забавянето например на двигателните реакции се изразява най-ярко при сложните и фините действия. Наблюдава се бедност, непълна проява или забавяне на съдружителните движения при ходене, намаляване на пластичността им, скъсяване размера на крачките, известна несигурност на походката. Понякога се появява тремор на ръцете, брадичката. Речта на стария човек става по-тиха, приглушена, недостатъчно модулирана, мимиката и пантомимиката му са по-бедни, сковани. </w:t>
      </w:r>
    </w:p>
    <w:p>
      <w:pPr>
        <w:pStyle w:val="Heading3"/>
        <w:jc w:val="both"/>
        <w:rPr>
          <w:b w:val="false"/>
          <w:b w:val="false"/>
          <w:lang w:val="bg-BG"/>
        </w:rPr>
      </w:pPr>
      <w:r>
        <w:rPr>
          <w:b w:val="false"/>
          <w:lang w:val="bg-BG"/>
        </w:rPr>
        <w:t xml:space="preserve">В цялост промените в централната нервна система и в анализаторите увреждат значително общото поведение на стария човек и възможностите му за своевременна и пълноценна адаптация. Например при неизбежните инциденти вследствие на претовареното и усложнено в наши дни улично движение най-често пострадват стари хора. Бидейки повече или по-малко повлияван от странични дразнители и по-малко готов да реагира в подходящия момент, старият човек – било като пешеходец, било като шофьор – твърде често не реагира адекватно, навременно.  </w:t>
      </w:r>
    </w:p>
    <w:p>
      <w:pPr>
        <w:pStyle w:val="Heading3"/>
        <w:jc w:val="both"/>
        <w:rPr>
          <w:b w:val="false"/>
          <w:b w:val="false"/>
          <w:lang w:val="bg-BG"/>
        </w:rPr>
      </w:pPr>
      <w:r>
        <w:rPr>
          <w:b w:val="false"/>
          <w:lang w:val="bg-BG"/>
        </w:rPr>
        <w:t xml:space="preserve">Наблюдава се застаряване на сензорно-рецептивните функции на почти всички анализатори: </w:t>
      </w:r>
    </w:p>
    <w:p>
      <w:pPr>
        <w:pStyle w:val="Heading3"/>
        <w:numPr>
          <w:ilvl w:val="0"/>
          <w:numId w:val="65"/>
        </w:numPr>
        <w:jc w:val="both"/>
        <w:rPr/>
      </w:pPr>
      <w:r>
        <w:rPr>
          <w:b w:val="false"/>
          <w:lang w:val="bg-BG"/>
        </w:rPr>
        <w:t xml:space="preserve">зрение – намаляване на неговата острота; влошаване на акомодацията (т.е. на способността за фокусиране на зрението на различни разстояния поради това, че кристалното вещество на окото постепенно губи своята еластичност); ограничаване на обема на зрението поради намаляването на подвижността на очните ябълки; разстройство на зрително-кинетичната координация. В резултат на всичко това се стига до далекогледство; налице са сенилни промени в роговицата, конюнктивата, очното дъно (ретината);  блясъкът в очите, така характерен за младите хора, постепенно изчезва; поради атрофия на мастната тъкан на очните ябълки очите хлътват; понякога се наблюдава спадане на горните клепачи; и пр.; </w:t>
      </w:r>
    </w:p>
    <w:p>
      <w:pPr>
        <w:pStyle w:val="Heading3"/>
        <w:numPr>
          <w:ilvl w:val="0"/>
          <w:numId w:val="65"/>
        </w:numPr>
        <w:jc w:val="both"/>
        <w:rPr>
          <w:b w:val="false"/>
          <w:b w:val="false"/>
          <w:lang w:val="bg-BG"/>
        </w:rPr>
      </w:pPr>
      <w:r>
        <w:rPr>
          <w:b w:val="false"/>
          <w:lang w:val="bg-BG"/>
        </w:rPr>
        <w:t xml:space="preserve">слух – отслабване на слуха, много по-ярко проявено при мъжете; повишаване на праговата величина на високочестотни звукове и при разбиране речта на говорещи (старческа глухота); налице е постепенен процес на вкостяване на влакната в основната мембрана, която става ригидна; </w:t>
      </w:r>
    </w:p>
    <w:p>
      <w:pPr>
        <w:pStyle w:val="Heading3"/>
        <w:numPr>
          <w:ilvl w:val="0"/>
          <w:numId w:val="84"/>
        </w:numPr>
        <w:jc w:val="both"/>
        <w:rPr>
          <w:b w:val="false"/>
          <w:b w:val="false"/>
          <w:lang w:val="bg-BG"/>
        </w:rPr>
      </w:pPr>
      <w:r>
        <w:rPr>
          <w:b w:val="false"/>
          <w:lang w:val="bg-BG"/>
        </w:rPr>
        <w:t xml:space="preserve">вкус – понижаване на чувствителността; отслабване на вкусовата възприемчивост с напредването на възрастта;  снижаване равнището на общите вкусови усещания и на усещанията за горчиво и солено (докато тези за сладко и кисело почти не се променят); </w:t>
      </w:r>
    </w:p>
    <w:p>
      <w:pPr>
        <w:pStyle w:val="Heading3"/>
        <w:numPr>
          <w:ilvl w:val="0"/>
          <w:numId w:val="84"/>
        </w:numPr>
        <w:jc w:val="both"/>
        <w:rPr>
          <w:b w:val="false"/>
          <w:b w:val="false"/>
          <w:lang w:val="bg-BG"/>
        </w:rPr>
      </w:pPr>
      <w:r>
        <w:rPr>
          <w:b w:val="false"/>
          <w:lang w:val="bg-BG"/>
        </w:rPr>
        <w:t>обоняние – понижаване на остротата му; относително по-добро обоняние  се запазва при жените; след 80-годишна възраст се наблюдават по-силно изразени промени при старите хора и от двата пола;</w:t>
      </w:r>
    </w:p>
    <w:p>
      <w:pPr>
        <w:pStyle w:val="Heading3"/>
        <w:numPr>
          <w:ilvl w:val="0"/>
          <w:numId w:val="7"/>
        </w:numPr>
        <w:jc w:val="both"/>
        <w:rPr>
          <w:b w:val="false"/>
          <w:b w:val="false"/>
          <w:lang w:val="bg-BG"/>
        </w:rPr>
      </w:pPr>
      <w:r>
        <w:rPr>
          <w:b w:val="false"/>
          <w:lang w:val="bg-BG"/>
        </w:rPr>
        <w:t xml:space="preserve">допир – намаляване на чувствителността, т.е. повишаване на прага на чувствителност по отношение на осезателните усещания. </w:t>
      </w:r>
    </w:p>
    <w:p>
      <w:pPr>
        <w:pStyle w:val="Heading3"/>
        <w:jc w:val="both"/>
        <w:rPr>
          <w:b w:val="false"/>
          <w:b w:val="false"/>
          <w:lang w:val="bg-BG"/>
        </w:rPr>
      </w:pPr>
      <w:r>
        <w:rPr>
          <w:b w:val="false"/>
          <w:lang w:val="bg-BG"/>
        </w:rPr>
        <w:t xml:space="preserve">С напредване на възрастта не само намалява аферентацията (постъпващата информация), а и се влошават възможностите на централната нервна система за осигуряване на нейното провеждане, анализиране, преработване и интегриране. Намаляването на сетивната, а също така и на проприоцептивната информация означава, че централната нервна система получава за единица време и изобщо по-малко дразнения, което неизбежно се отразява на функционалното й състояние и на общата активност на индивида. Всичко това води до ограничаване на контактите на личността със социалната и природната среда. </w:t>
      </w:r>
    </w:p>
    <w:p>
      <w:pPr>
        <w:pStyle w:val="Heading3"/>
        <w:jc w:val="both"/>
        <w:rPr>
          <w:lang w:val="bg-BG"/>
        </w:rPr>
      </w:pPr>
      <w:r>
        <w:rPr>
          <w:b w:val="false"/>
          <w:lang w:val="bg-BG"/>
        </w:rPr>
        <w:t>Особено голямо значение за старите хора имат зрителните и слуховите възприятия. Изследванията на времето на реакция в неговите два варианта – времето на проста реакция (ВПР) и времето на реакцията на избор (ВРИ) показват, че с напредване на възрастта, независимо от някои индивидуални различия, се увеличава времето между сигнала и реакцията (ВПР) и при избора на действие (ВРИ). Обяснението е, че нервната система на стария човек по-неефективно провежда сигналите до съответните центрове в мозъка и в условията на избор той среща по-големи затруднения. Тези особености  на възприятно-представната сфера на хората от третата възраст влияят отрицателно върху самочувствието и самооценката им. За минимизиране на това влияние благоприятстват някои компесаторни механизми (носене на очила, поставяне на слухови апарати и др.). За известно подобряване на усещанията и възприятията могат да допринесат и различните специално предназначени за това упражнения.</w:t>
      </w:r>
    </w:p>
    <w:p>
      <w:pPr>
        <w:pStyle w:val="Heading4"/>
        <w:rPr/>
      </w:pPr>
      <w:r>
        <w:rPr/>
        <w:t>6.2.2. Възрастови промени в паметта и ученето</w:t>
      </w:r>
    </w:p>
    <w:p>
      <w:pPr>
        <w:pStyle w:val="Heading3"/>
        <w:jc w:val="both"/>
        <w:rPr>
          <w:b w:val="false"/>
          <w:b w:val="false"/>
          <w:lang w:val="bg-BG"/>
        </w:rPr>
      </w:pPr>
      <w:r>
        <w:rPr>
          <w:b w:val="false"/>
          <w:lang w:val="bg-BG"/>
        </w:rPr>
        <w:t xml:space="preserve">Значението на паметта за психичния живот и социалната адаптация на човека е всеизвестно. Тя е основа на процесите на запомняне, съхраняване на възприетото, узнаване и възпроизвеждане и позволява да се свържат в едно представите за минало, настояще и бъдеще. Разграничават се различни видове памет: волева и неволева, кратковременна и дълготрайна, механична и осмислена, експлицитна (съзнателна) и имплицитна (несъзнателна), нагледно-образна и словесно-логична и пр. </w:t>
      </w:r>
    </w:p>
    <w:p>
      <w:pPr>
        <w:pStyle w:val="Heading3"/>
        <w:jc w:val="both"/>
        <w:rPr/>
      </w:pPr>
      <w:r>
        <w:rPr>
          <w:b w:val="false"/>
          <w:lang w:val="bg-BG"/>
        </w:rPr>
        <w:t xml:space="preserve">Като цяло паметта на здравите хора от напреднала и старческа възраст дълго време запазва своите възможности. Развитието и се наблюдават периоди на подеми, застои и спадове, характерни не само за геронтогенеза, а и за по-ранните етапи на онтогенеза. С напредването на възрастта някои нейни видове или функции постепенно отслабват, докато други се запазват на сравнително добро равнище. Наблюдават се едни или други различия в паметовите особености в зависимост от характера на материала, който се запомня или възпроизвежда, от начина на представянето му, от неговата значимост за отделния човек и пр. Доказано е, че упражняването на паметта до голяма степен съхранява нейните възможности. </w:t>
      </w:r>
    </w:p>
    <w:p>
      <w:pPr>
        <w:pStyle w:val="Heading3"/>
        <w:jc w:val="both"/>
        <w:rPr/>
      </w:pPr>
      <w:r>
        <w:rPr>
          <w:b w:val="false"/>
          <w:lang w:val="bg-BG"/>
        </w:rPr>
        <w:t xml:space="preserve">При редица експерименти се установява, че старите хора запомнят сравнително по-лесно смислово свързан материал, а много по-трудно – безсмислена информация. Някои изследвания обаче не потвърждават тази тенденция. Много учени приемат, че процесите на узнаване в продължение на дълъг период от време могат да протичат сравнително ефективно. С напредването на възрастта в по-голяма степен се влошава възпроизвеждането. Много по-лесно  старите хора възпроизвеждат спомени за събития от далечното минало в сравнение с по-късно усвоеното, което се забравя по-рано (закон на </w:t>
      </w:r>
      <w:r>
        <w:rPr>
          <w:lang w:val="bg-BG"/>
        </w:rPr>
        <w:t>Рибо</w:t>
      </w:r>
      <w:r>
        <w:rPr>
          <w:b w:val="false"/>
          <w:lang w:val="bg-BG"/>
        </w:rPr>
        <w:t xml:space="preserve">).   С течение на времето обаче  спомените избледняват. По-трудно се спомнят имена. При това трайно се помни впечатлилото личността, особено в по-ранните години. Запомнянето и спомнянето на намерения са запазват на относително високо равнище. </w:t>
      </w:r>
    </w:p>
    <w:p>
      <w:pPr>
        <w:pStyle w:val="Heading3"/>
        <w:jc w:val="both"/>
        <w:rPr/>
      </w:pPr>
      <w:r>
        <w:rPr>
          <w:b w:val="false"/>
          <w:lang w:val="bg-BG"/>
        </w:rPr>
        <w:t>Нагледно-образната, както и словесно-логическата памет продължават да функционират дълъг период от време сравнително добре. Запомнянето може да бъде непосредствено (заучаване например на думите така, както те се подават) и опосредствено (да се търсят връзки между тях, обединяващи ги родови понятия и пр.). Наблюдава се постепенно отслабване на опосредственото запомняне (т.нар. конструк</w:t>
        <w:softHyphen/>
        <w:t>тив</w:t>
        <w:softHyphen/>
        <w:t xml:space="preserve">на памет). </w:t>
      </w:r>
    </w:p>
    <w:p>
      <w:pPr>
        <w:pStyle w:val="Heading3"/>
        <w:jc w:val="both"/>
        <w:rPr>
          <w:b w:val="false"/>
          <w:b w:val="false"/>
          <w:lang w:val="bg-BG"/>
        </w:rPr>
      </w:pPr>
      <w:r>
        <w:rPr>
          <w:b w:val="false"/>
          <w:lang w:val="bg-BG"/>
        </w:rPr>
        <w:t xml:space="preserve">Семантичната памет (съхраняване на значения) се запазва, но не е лишена от недостатъци. При това по-отдалечената във времето информация се помни по-добре от новата. </w:t>
      </w:r>
    </w:p>
    <w:p>
      <w:pPr>
        <w:pStyle w:val="Heading3"/>
        <w:jc w:val="both"/>
        <w:rPr>
          <w:b w:val="false"/>
          <w:b w:val="false"/>
          <w:lang w:val="bg-BG"/>
        </w:rPr>
      </w:pPr>
      <w:r>
        <w:rPr>
          <w:b w:val="false"/>
          <w:lang w:val="bg-BG"/>
        </w:rPr>
        <w:t>Експлицитната памет, която е свързана със спомняне на названия, с възрастта се влошава, като се забравя повече или по-малко от заученото. Имплицитната памет (несъзнателно възприетото и съхраненото) се променя много по-бавно. Старите хора обикновено недостатъчно пълно и вярно разказват за минали събития.</w:t>
      </w:r>
    </w:p>
    <w:p>
      <w:pPr>
        <w:pStyle w:val="Heading3"/>
        <w:jc w:val="both"/>
        <w:rPr>
          <w:b w:val="false"/>
          <w:b w:val="false"/>
          <w:lang w:val="bg-BG"/>
        </w:rPr>
      </w:pPr>
      <w:r>
        <w:rPr>
          <w:b w:val="false"/>
          <w:lang w:val="bg-BG"/>
        </w:rPr>
        <w:t xml:space="preserve">Отслабването на паметта е по-изразено, когато материалът се представя сравнително бързо, тъй като старият човек се нуждае от повече време, за да го възприеме и запечати в съзнанието си. С възрастта запомнянето на по-голям брой обекти в пространството се влошава. Старите хора обикновено правят много пропуски, особено когато трябва да запомнят бързо движещи се предмети или техни образи. Обяснението е, че им е необходимо повече време, за да обработят информацията. При това затрудненията се засилват, когато трябва да се извършват едновременно две или повече паметови операции. </w:t>
      </w:r>
    </w:p>
    <w:p>
      <w:pPr>
        <w:pStyle w:val="Heading3"/>
        <w:jc w:val="both"/>
        <w:rPr>
          <w:b w:val="false"/>
          <w:b w:val="false"/>
          <w:lang w:val="bg-BG"/>
        </w:rPr>
      </w:pPr>
      <w:r>
        <w:rPr>
          <w:b w:val="false"/>
          <w:lang w:val="bg-BG"/>
        </w:rPr>
        <w:t xml:space="preserve">Експерименти показват, че кратковременната памет на старите хора е по-услужлива, когато те трябва да запомнят букви, цифри, думи, картини. Затруднения се наблюдават при усложняване на задачите (например запомняне на цифри и извършване на определени математически действия с тях). Констатирани са различия в запомнянето на предмети и цифри, като първите се запомнят по-лесно. </w:t>
      </w:r>
    </w:p>
    <w:p>
      <w:pPr>
        <w:pStyle w:val="Heading3"/>
        <w:jc w:val="both"/>
        <w:rPr/>
      </w:pPr>
      <w:r>
        <w:rPr>
          <w:b w:val="false"/>
          <w:lang w:val="bg-BG"/>
        </w:rPr>
        <w:t xml:space="preserve">Установени са значителни индивидуални възрастови различия в паметта в зависимост от нейното упражняване, от характера на извършваната от старите хора дейност, от тяхната мотивация. При едни от тях доминира образната памет, при други – понятийната, при трети  - двигателната, при четвърти – емоционалната.  Представляват интерес изследванията, проведени от Б.А. </w:t>
      </w:r>
      <w:r>
        <w:rPr>
          <w:lang w:val="bg-BG"/>
        </w:rPr>
        <w:t>Греков</w:t>
      </w:r>
      <w:r>
        <w:rPr>
          <w:b w:val="false"/>
          <w:lang w:val="bg-BG"/>
        </w:rPr>
        <w:t xml:space="preserve"> на стари хора от 70 до 90 години относно спецификата на паметта и словесните асоциации (цит.по 26, с. 41). Авторът обръща внимание на факта, че общовъзрастовата тенденция към снижаване на паметовите и асоциативните процеси у здравите, психично пълноценни стари хора започва едва на 90 години, докато в групата с по-малка възраст се наблюдават големи индивидуални различия. Общите изводи на Б.А.Греков са следните: </w:t>
      </w:r>
    </w:p>
    <w:p>
      <w:pPr>
        <w:pStyle w:val="Heading3"/>
        <w:numPr>
          <w:ilvl w:val="0"/>
          <w:numId w:val="2"/>
        </w:numPr>
        <w:jc w:val="both"/>
        <w:rPr>
          <w:b w:val="false"/>
          <w:b w:val="false"/>
          <w:lang w:val="bg-BG"/>
        </w:rPr>
      </w:pPr>
      <w:r>
        <w:rPr>
          <w:b w:val="false"/>
          <w:lang w:val="bg-BG"/>
        </w:rPr>
        <w:t>У лица на възраст от 70 до 90 години се наблюдава влошаване на паметта, обаче това влошаване не е равномерно. Особено страда механическото запомняне. Двигателната памет страда не така значително.</w:t>
      </w:r>
    </w:p>
    <w:p>
      <w:pPr>
        <w:pStyle w:val="Heading3"/>
        <w:numPr>
          <w:ilvl w:val="0"/>
          <w:numId w:val="2"/>
        </w:numPr>
        <w:jc w:val="both"/>
        <w:rPr>
          <w:b w:val="false"/>
          <w:b w:val="false"/>
          <w:lang w:val="bg-BG"/>
        </w:rPr>
      </w:pPr>
      <w:r>
        <w:rPr>
          <w:b w:val="false"/>
          <w:lang w:val="bg-BG"/>
        </w:rPr>
        <w:t>Най-много във възрастта 70-89 години се запазва смисловият компонент на логически смисловата памет.</w:t>
      </w:r>
    </w:p>
    <w:p>
      <w:pPr>
        <w:pStyle w:val="Heading3"/>
        <w:numPr>
          <w:ilvl w:val="0"/>
          <w:numId w:val="2"/>
        </w:numPr>
        <w:jc w:val="both"/>
        <w:rPr>
          <w:b w:val="false"/>
          <w:b w:val="false"/>
          <w:lang w:val="bg-BG"/>
        </w:rPr>
      </w:pPr>
      <w:r>
        <w:rPr>
          <w:b w:val="false"/>
          <w:lang w:val="bg-BG"/>
        </w:rPr>
        <w:t>Образно-сетивната памет отслабва повече, отколкото смисловият компонент на паметта, но все пак тя се запазва повече, отколкото механическото запомняне.</w:t>
      </w:r>
    </w:p>
    <w:p>
      <w:pPr>
        <w:pStyle w:val="Heading3"/>
        <w:numPr>
          <w:ilvl w:val="0"/>
          <w:numId w:val="2"/>
        </w:numPr>
        <w:jc w:val="both"/>
        <w:rPr>
          <w:b w:val="false"/>
          <w:b w:val="false"/>
          <w:lang w:val="bg-BG"/>
        </w:rPr>
      </w:pPr>
      <w:r>
        <w:rPr>
          <w:b w:val="false"/>
          <w:lang w:val="bg-BG"/>
        </w:rPr>
        <w:t>Основа за трайността на паметта във възрастта от 70-89 години са вътрешните смислови връзки.</w:t>
      </w:r>
    </w:p>
    <w:p>
      <w:pPr>
        <w:pStyle w:val="Heading3"/>
        <w:numPr>
          <w:ilvl w:val="0"/>
          <w:numId w:val="2"/>
        </w:numPr>
        <w:jc w:val="both"/>
        <w:rPr>
          <w:b w:val="false"/>
          <w:b w:val="false"/>
          <w:lang w:val="bg-BG"/>
        </w:rPr>
      </w:pPr>
      <w:r>
        <w:rPr>
          <w:b w:val="false"/>
          <w:lang w:val="bg-BG"/>
        </w:rPr>
        <w:t>Фиксирането на собственото текущо поведение у лица, по-стари от 70 години, даже притежаващи добра, продължително действаща памет, е значително отслабено.</w:t>
      </w:r>
    </w:p>
    <w:p>
      <w:pPr>
        <w:pStyle w:val="Heading3"/>
        <w:numPr>
          <w:ilvl w:val="0"/>
          <w:numId w:val="2"/>
        </w:numPr>
        <w:jc w:val="both"/>
        <w:rPr>
          <w:b w:val="false"/>
          <w:b w:val="false"/>
          <w:lang w:val="bg-BG"/>
        </w:rPr>
      </w:pPr>
      <w:r>
        <w:rPr>
          <w:b w:val="false"/>
          <w:lang w:val="bg-BG"/>
        </w:rPr>
        <w:t>В определена възраст, най-често към 90 години, съществено отслабват и вътрешните смислови връзки. Паметта от всички видове става нетрайна, всичко ново се възприема трудно. Нарушава се структурата на възприемания  материал. На тази възраст старите хора се ползват в живота само от отдавна фиксирани понятия и представи при рязко стеснение на интересите.</w:t>
      </w:r>
    </w:p>
    <w:p>
      <w:pPr>
        <w:pStyle w:val="Heading3"/>
        <w:numPr>
          <w:ilvl w:val="0"/>
          <w:numId w:val="2"/>
        </w:numPr>
        <w:jc w:val="both"/>
        <w:rPr>
          <w:b w:val="false"/>
          <w:b w:val="false"/>
          <w:lang w:val="bg-BG"/>
        </w:rPr>
      </w:pPr>
      <w:r>
        <w:rPr>
          <w:b w:val="false"/>
          <w:lang w:val="bg-BG"/>
        </w:rPr>
        <w:t>Деформацията на материала при възпроизвеждането е особено изразена при изследването на образно-сетивната памет, където първото възприятие не се е съпровождало от организиращото влияние на речта.</w:t>
      </w:r>
    </w:p>
    <w:p>
      <w:pPr>
        <w:pStyle w:val="Heading3"/>
        <w:numPr>
          <w:ilvl w:val="0"/>
          <w:numId w:val="2"/>
        </w:numPr>
        <w:jc w:val="both"/>
        <w:rPr>
          <w:b w:val="false"/>
          <w:b w:val="false"/>
          <w:lang w:val="bg-BG"/>
        </w:rPr>
      </w:pPr>
      <w:r>
        <w:rPr>
          <w:b w:val="false"/>
          <w:lang w:val="bg-BG"/>
        </w:rPr>
        <w:t xml:space="preserve">При решаването на въпроса за трудоспособността на лица, по-стари от 70 години, трябва на първо място да се отчита запазеността на смисловия компонент на логическата памет и организиращото влияние на речта. </w:t>
      </w:r>
    </w:p>
    <w:p>
      <w:pPr>
        <w:pStyle w:val="Heading3"/>
        <w:jc w:val="both"/>
        <w:rPr/>
      </w:pPr>
      <w:r>
        <w:rPr>
          <w:b w:val="false"/>
          <w:lang w:val="bg-BG"/>
        </w:rPr>
        <w:t xml:space="preserve">Паметовите постижения в напреднала и старческа възраст зависят не само от биологичните промени, които постепенно се наблюдават, а и от редица социални и психологически фактори. Изследванията показват, че възрастовите различия в паметта в много случаи се определят от съществуващата (или липсващата) нагласа за учене, от желанието и интереса на старите хора да усвояват нови знания.  Твърде често наблюдаваната у някои от тях намалена способност за учене е следствие от тяхната дезинтересованост. Откъсването на стария човек от обществото намалява контактите му с другите хора и отслабва един мощен стимул за запаметяване на жизнения опит. Загубата на социалните роли може да доведе до отслабване и на интереса към жизнените ситуации, които по-рано са били в центъра на вниманието му. При бездеен начин на живот постепенно намаляват онези стимули, които влияят върху желанието му за учене. Опитите с използване на подпомагащи инструкции или със засилване на мотивацията за учене значително улесняват словесното заучаване и намаляват до минимум възрастовите различия. </w:t>
      </w:r>
    </w:p>
    <w:p>
      <w:pPr>
        <w:pStyle w:val="Heading3"/>
        <w:jc w:val="both"/>
        <w:rPr>
          <w:b w:val="false"/>
          <w:b w:val="false"/>
          <w:lang w:val="bg-BG"/>
        </w:rPr>
      </w:pPr>
      <w:r>
        <w:rPr>
          <w:b w:val="false"/>
          <w:lang w:val="bg-BG"/>
        </w:rPr>
        <w:t xml:space="preserve">Мотивацията и  в крайна сметка  възможностите на стария човек за учене до голяма степен зависят от неговата вграденост в трудовата и социалната среда. Установява се, че по-високото образование корелира  с по-високи аспирации, с по-голяма социална ангажираност и съхраняване на желанието за учене за дълъг период от време. Концепцията за ученето през целия живот в съвременни условия се превръща във водеща концепция. Понастоящем все повече се засилва ролята на неформалното образование, което се реализира извън училищата, образователните центрове и университетите, на информалното учене, което естествено съпровожда живота на всеки човек. </w:t>
      </w:r>
    </w:p>
    <w:p>
      <w:pPr>
        <w:pStyle w:val="Heading4"/>
        <w:rPr/>
      </w:pPr>
      <w:r>
        <w:rPr/>
        <w:t>6.2.3. Възрастови промени в мисленето и интелекта</w:t>
      </w:r>
    </w:p>
    <w:p>
      <w:pPr>
        <w:pStyle w:val="Heading3"/>
        <w:jc w:val="both"/>
        <w:rPr/>
      </w:pPr>
      <w:r>
        <w:rPr>
          <w:b w:val="false"/>
          <w:lang w:val="bg-BG"/>
        </w:rPr>
        <w:t xml:space="preserve">Най-високата степен на познавателно-практическата дейност на човека са </w:t>
      </w:r>
      <w:r>
        <w:rPr>
          <w:lang w:val="bg-BG"/>
        </w:rPr>
        <w:t xml:space="preserve">мисленето </w:t>
      </w:r>
      <w:r>
        <w:rPr>
          <w:b w:val="false"/>
          <w:lang w:val="bg-BG"/>
        </w:rPr>
        <w:t>и</w:t>
      </w:r>
      <w:r>
        <w:rPr>
          <w:lang w:val="bg-BG"/>
        </w:rPr>
        <w:t xml:space="preserve"> интелектът</w:t>
      </w:r>
      <w:r>
        <w:rPr>
          <w:b w:val="false"/>
          <w:lang w:val="bg-BG"/>
        </w:rPr>
        <w:t xml:space="preserve">. Като сложна аналитико-синтетична дейност </w:t>
      </w:r>
      <w:r>
        <w:rPr>
          <w:lang w:val="bg-BG"/>
        </w:rPr>
        <w:t xml:space="preserve">мисленето </w:t>
      </w:r>
      <w:r>
        <w:rPr>
          <w:b w:val="false"/>
          <w:lang w:val="bg-BG"/>
        </w:rPr>
        <w:t xml:space="preserve">играе изключително важна роля в движението на познанието от явленията към тяхната същност, при разкриване на причинно-следствени връзки, на едни или други зависимости и закономерности. Понятията, съжденията и умозаключенията позволяват да се открива общото, инвариантното, да се правят оценки, изводи, заключения. Разграничават се нагледно-образно, вербално-логическо и практическо мислене, индуктивно и дедуктивно мислене, стереотипно и творческо мислене и пр. </w:t>
      </w:r>
    </w:p>
    <w:p>
      <w:pPr>
        <w:pStyle w:val="Heading3"/>
        <w:jc w:val="both"/>
        <w:rPr/>
      </w:pPr>
      <w:r>
        <w:rPr>
          <w:b w:val="false"/>
          <w:lang w:val="bg-BG"/>
        </w:rPr>
        <w:t xml:space="preserve">Наблюденията върху мисловния процес с напредването на възрастта показват обща тенденция към </w:t>
      </w:r>
      <w:r>
        <w:rPr>
          <w:lang w:val="bg-BG"/>
        </w:rPr>
        <w:t>упадък.</w:t>
      </w:r>
      <w:r>
        <w:rPr>
          <w:b w:val="false"/>
          <w:lang w:val="bg-BG"/>
        </w:rPr>
        <w:t xml:space="preserve"> Касае се обаче не за единен, общ процес, а за различна изразеност и в различно време на отделните, сложно съгласувани съставки на мисловната дейност. </w:t>
      </w:r>
    </w:p>
    <w:p>
      <w:pPr>
        <w:pStyle w:val="Heading3"/>
        <w:rPr/>
      </w:pPr>
      <w:r>
        <w:rPr>
          <w:b w:val="false"/>
          <w:lang w:val="bg-BG"/>
        </w:rPr>
        <w:t xml:space="preserve">Изследванията на редица автори (36, с. 19 и сл.) – например на D.H. </w:t>
      </w:r>
      <w:r>
        <w:rPr>
          <w:lang w:val="bg-BG"/>
        </w:rPr>
        <w:t xml:space="preserve">Wadsworth </w:t>
      </w:r>
      <w:r>
        <w:rPr>
          <w:b w:val="false"/>
          <w:lang w:val="bg-BG"/>
        </w:rPr>
        <w:t xml:space="preserve">и на  V.G. </w:t>
      </w:r>
      <w:r>
        <w:rPr>
          <w:lang w:val="bg-BG"/>
        </w:rPr>
        <w:t xml:space="preserve">Cicirelli </w:t>
      </w:r>
      <w:r>
        <w:rPr>
          <w:b w:val="false"/>
          <w:lang w:val="bg-BG"/>
        </w:rPr>
        <w:t xml:space="preserve">върху класифицирането, на   Susan A. </w:t>
      </w:r>
      <w:r>
        <w:rPr>
          <w:lang w:val="bg-BG"/>
        </w:rPr>
        <w:t xml:space="preserve">Gaylord </w:t>
      </w:r>
      <w:r>
        <w:rPr>
          <w:b w:val="false"/>
          <w:lang w:val="bg-BG"/>
        </w:rPr>
        <w:t xml:space="preserve"> и  G. R. </w:t>
      </w:r>
      <w:r>
        <w:rPr>
          <w:lang w:val="bg-BG"/>
        </w:rPr>
        <w:t xml:space="preserve">Marsh </w:t>
      </w:r>
      <w:r>
        <w:rPr>
          <w:b w:val="false"/>
          <w:lang w:val="bg-BG"/>
        </w:rPr>
        <w:t xml:space="preserve">върху мисловни задачи, включващи пространствено съотнасяне, на   J. </w:t>
      </w:r>
      <w:r>
        <w:rPr>
          <w:lang w:val="bg-BG"/>
        </w:rPr>
        <w:t xml:space="preserve">Kaye </w:t>
      </w:r>
      <w:r>
        <w:rPr>
          <w:b w:val="false"/>
          <w:lang w:val="bg-BG"/>
        </w:rPr>
        <w:t>и съавтори върху концептуалното мислене и др. показват че старите хора като група и средно се справят сравнително лошо с тестовете, независимо от съществуващите индивидуални постижения на равнището или над равнището на младите. Подобни тенденции се открояват и при изследванията на интелектуалното равнище: средните постижения закономерно спадат с напредването на възрастта и особено след 70 години при едновременно нарастване на диапазона на индивидуалните отклонения. Според някои експерименти обаче не винаги се констатира възрастов упадък на интелекта.</w:t>
      </w:r>
    </w:p>
    <w:p>
      <w:pPr>
        <w:pStyle w:val="Heading3"/>
        <w:jc w:val="both"/>
        <w:rPr/>
      </w:pPr>
      <w:r>
        <w:rPr>
          <w:b w:val="false"/>
          <w:lang w:val="bg-BG"/>
        </w:rPr>
        <w:t xml:space="preserve">Що се отнася  до измененията в структурата на интелекта, изследванията сочат, че отделните сложно съгласувани съставки на мисловната дейност се променят в различна изразеност и в различни срокове. През време на жизнения път се увеличава количеството натрупана информация. Това създава известни предимства за по-възрастния човек, доколкото познатостта на проблема или на част от неговите съставки благоприятства за по-ефективното му разрешаване на основата на здравия запас от вече готови решения. Когато обаче ударението на трудността падне върху изискването за бързина на изпълнението, върху възприемането или запомнянето на материала, тогава старите хора се справят по-трудно с мисловните задачи. </w:t>
      </w:r>
    </w:p>
    <w:p>
      <w:pPr>
        <w:pStyle w:val="Heading3"/>
        <w:jc w:val="both"/>
        <w:rPr/>
      </w:pPr>
      <w:r>
        <w:rPr>
          <w:b w:val="false"/>
          <w:lang w:val="bg-BG"/>
        </w:rPr>
        <w:t xml:space="preserve">Старите хора се отличават и с по-различен подход при решаване на проблемни задачи. Проведените изследвания установяват намалена обективност на мисленето поради силна намеса на личния опит и намалена гъвкавост (прекомерна категоричност и алтернативност на преценките). От друга страна, мисленето на старите хора е по-скоро асоциативно, отколкото аналитично. Те са склонни да търсят отговора на задачата сред личния запас от готови решения, а по-трудно прибягват към търсене на нови пътища. </w:t>
      </w:r>
    </w:p>
    <w:p>
      <w:pPr>
        <w:pStyle w:val="Heading3"/>
        <w:jc w:val="both"/>
        <w:rPr/>
      </w:pPr>
      <w:r>
        <w:rPr>
          <w:b w:val="false"/>
          <w:lang w:val="bg-BG"/>
        </w:rPr>
        <w:t xml:space="preserve">Мисленето на стария човек се отличава и със своята </w:t>
      </w:r>
      <w:r>
        <w:rPr>
          <w:lang w:val="bg-BG"/>
        </w:rPr>
        <w:t>ригидност,</w:t>
      </w:r>
      <w:r>
        <w:rPr>
          <w:b w:val="false"/>
          <w:lang w:val="bg-BG"/>
        </w:rPr>
        <w:t xml:space="preserve"> която характеристика се отнася изобщо за неговата реактивност. Трудното пренасочване проличава в прекалената склонност към придържане към веднъж възприет подход за решаване на задачите и нежеланието да се използват възможни други алтернативни или въобще отклоняващи се от традицията пътища. Това довежда до редукция на възможностите не само в мисловната сфера, а и въобще в цялостната дейност и отношение към жизнените проблеми. </w:t>
      </w:r>
    </w:p>
    <w:p>
      <w:pPr>
        <w:pStyle w:val="Heading3"/>
        <w:jc w:val="both"/>
        <w:rPr>
          <w:b w:val="false"/>
          <w:b w:val="false"/>
          <w:lang w:val="bg-BG"/>
        </w:rPr>
      </w:pPr>
      <w:r>
        <w:rPr>
          <w:b w:val="false"/>
          <w:lang w:val="bg-BG"/>
        </w:rPr>
        <w:t>Към негативните особености на мисленето на старите хора се отнасят следните:</w:t>
      </w:r>
    </w:p>
    <w:p>
      <w:pPr>
        <w:pStyle w:val="Heading3"/>
        <w:numPr>
          <w:ilvl w:val="0"/>
          <w:numId w:val="31"/>
        </w:numPr>
        <w:jc w:val="both"/>
        <w:rPr>
          <w:b w:val="false"/>
          <w:b w:val="false"/>
          <w:lang w:val="bg-BG"/>
        </w:rPr>
      </w:pPr>
      <w:r>
        <w:rPr>
          <w:b w:val="false"/>
          <w:lang w:val="bg-BG"/>
        </w:rPr>
        <w:t>инертност и стереотипност;</w:t>
      </w:r>
    </w:p>
    <w:p>
      <w:pPr>
        <w:pStyle w:val="Heading3"/>
        <w:numPr>
          <w:ilvl w:val="0"/>
          <w:numId w:val="31"/>
        </w:numPr>
        <w:jc w:val="both"/>
        <w:rPr>
          <w:b w:val="false"/>
          <w:b w:val="false"/>
          <w:lang w:val="bg-BG"/>
        </w:rPr>
      </w:pPr>
      <w:r>
        <w:rPr>
          <w:b w:val="false"/>
          <w:lang w:val="bg-BG"/>
        </w:rPr>
        <w:t xml:space="preserve">намаляване на подвижността и гъвкавостта му; </w:t>
      </w:r>
    </w:p>
    <w:p>
      <w:pPr>
        <w:pStyle w:val="Heading3"/>
        <w:numPr>
          <w:ilvl w:val="0"/>
          <w:numId w:val="31"/>
        </w:numPr>
        <w:jc w:val="both"/>
        <w:rPr>
          <w:b w:val="false"/>
          <w:b w:val="false"/>
          <w:lang w:val="bg-BG"/>
        </w:rPr>
      </w:pPr>
      <w:r>
        <w:rPr>
          <w:b w:val="false"/>
          <w:lang w:val="bg-BG"/>
        </w:rPr>
        <w:t xml:space="preserve">стесняване на обхвата му; </w:t>
      </w:r>
    </w:p>
    <w:p>
      <w:pPr>
        <w:pStyle w:val="Heading3"/>
        <w:numPr>
          <w:ilvl w:val="0"/>
          <w:numId w:val="31"/>
        </w:numPr>
        <w:jc w:val="both"/>
        <w:rPr>
          <w:b w:val="false"/>
          <w:b w:val="false"/>
          <w:lang w:val="bg-BG"/>
        </w:rPr>
      </w:pPr>
      <w:r>
        <w:rPr>
          <w:b w:val="false"/>
          <w:lang w:val="bg-BG"/>
        </w:rPr>
        <w:t xml:space="preserve">подчертана пасивност; </w:t>
      </w:r>
    </w:p>
    <w:p>
      <w:pPr>
        <w:pStyle w:val="Heading3"/>
        <w:numPr>
          <w:ilvl w:val="0"/>
          <w:numId w:val="31"/>
        </w:numPr>
        <w:jc w:val="both"/>
        <w:rPr>
          <w:b w:val="false"/>
          <w:b w:val="false"/>
          <w:lang w:val="bg-BG"/>
        </w:rPr>
      </w:pPr>
      <w:r>
        <w:rPr>
          <w:b w:val="false"/>
          <w:lang w:val="bg-BG"/>
        </w:rPr>
        <w:t xml:space="preserve">нарастване на неговата субективност; </w:t>
      </w:r>
    </w:p>
    <w:p>
      <w:pPr>
        <w:pStyle w:val="Heading3"/>
        <w:numPr>
          <w:ilvl w:val="0"/>
          <w:numId w:val="31"/>
        </w:numPr>
        <w:jc w:val="both"/>
        <w:rPr>
          <w:b w:val="false"/>
          <w:b w:val="false"/>
          <w:lang w:val="bg-BG"/>
        </w:rPr>
      </w:pPr>
      <w:r>
        <w:rPr>
          <w:b w:val="false"/>
          <w:lang w:val="bg-BG"/>
        </w:rPr>
        <w:t xml:space="preserve">преориентирането му от настоящето и бъдещето към миналото; </w:t>
      </w:r>
    </w:p>
    <w:p>
      <w:pPr>
        <w:pStyle w:val="Heading3"/>
        <w:numPr>
          <w:ilvl w:val="0"/>
          <w:numId w:val="31"/>
        </w:numPr>
        <w:jc w:val="both"/>
        <w:rPr>
          <w:b w:val="false"/>
          <w:b w:val="false"/>
          <w:lang w:val="bg-BG"/>
        </w:rPr>
      </w:pPr>
      <w:r>
        <w:rPr>
          <w:b w:val="false"/>
          <w:lang w:val="bg-BG"/>
        </w:rPr>
        <w:t xml:space="preserve">усилване на практическата му насоченост; </w:t>
      </w:r>
    </w:p>
    <w:p>
      <w:pPr>
        <w:pStyle w:val="Heading3"/>
        <w:numPr>
          <w:ilvl w:val="0"/>
          <w:numId w:val="31"/>
        </w:numPr>
        <w:jc w:val="both"/>
        <w:rPr>
          <w:b w:val="false"/>
          <w:b w:val="false"/>
          <w:lang w:val="bg-BG"/>
        </w:rPr>
      </w:pPr>
      <w:r>
        <w:rPr>
          <w:b w:val="false"/>
          <w:lang w:val="bg-BG"/>
        </w:rPr>
        <w:t xml:space="preserve">прояви на  консервативност; </w:t>
      </w:r>
    </w:p>
    <w:p>
      <w:pPr>
        <w:pStyle w:val="Heading3"/>
        <w:numPr>
          <w:ilvl w:val="0"/>
          <w:numId w:val="31"/>
        </w:numPr>
        <w:jc w:val="both"/>
        <w:rPr>
          <w:b w:val="false"/>
          <w:b w:val="false"/>
          <w:lang w:val="bg-BG"/>
        </w:rPr>
      </w:pPr>
      <w:r>
        <w:rPr>
          <w:b w:val="false"/>
          <w:lang w:val="bg-BG"/>
        </w:rPr>
        <w:t xml:space="preserve">непоследователност и фрагментарност; повърхностност. </w:t>
      </w:r>
    </w:p>
    <w:p>
      <w:pPr>
        <w:pStyle w:val="Heading3"/>
        <w:jc w:val="both"/>
        <w:rPr/>
      </w:pPr>
      <w:r>
        <w:rPr>
          <w:b w:val="false"/>
          <w:lang w:val="bg-BG"/>
        </w:rPr>
        <w:t xml:space="preserve">Успоредно с промените в мисленето върви и упадъкът на </w:t>
      </w:r>
      <w:r>
        <w:rPr>
          <w:lang w:val="bg-BG"/>
        </w:rPr>
        <w:t xml:space="preserve">интелекта. </w:t>
      </w:r>
      <w:r>
        <w:rPr>
          <w:b w:val="false"/>
          <w:lang w:val="bg-BG"/>
        </w:rPr>
        <w:t xml:space="preserve">Като относително устойчива структура на умствените способности на личността интелектът включва в себе си два типа специфични способности: </w:t>
      </w:r>
      <w:r>
        <w:rPr>
          <w:lang w:val="bg-BG"/>
        </w:rPr>
        <w:t xml:space="preserve">разбиране </w:t>
      </w:r>
      <w:r>
        <w:rPr>
          <w:b w:val="false"/>
          <w:lang w:val="bg-BG"/>
        </w:rPr>
        <w:t xml:space="preserve">(осмисляне на придобитите знания – т.нар. </w:t>
      </w:r>
      <w:r>
        <w:rPr>
          <w:lang w:val="bg-BG"/>
        </w:rPr>
        <w:t>“кристализиран интелект”</w:t>
      </w:r>
      <w:r>
        <w:rPr>
          <w:b w:val="false"/>
          <w:lang w:val="bg-BG"/>
        </w:rPr>
        <w:t xml:space="preserve">) и </w:t>
      </w:r>
      <w:r>
        <w:rPr>
          <w:lang w:val="bg-BG"/>
        </w:rPr>
        <w:t>съобразителност</w:t>
      </w:r>
      <w:r>
        <w:rPr>
          <w:b w:val="false"/>
          <w:lang w:val="bg-BG"/>
        </w:rPr>
        <w:t xml:space="preserve"> (намиране на подходящи начини за решаване на проблеми – т.нар. </w:t>
      </w:r>
      <w:r>
        <w:rPr>
          <w:lang w:val="bg-BG"/>
        </w:rPr>
        <w:t>“подвижен интелект</w:t>
      </w:r>
      <w:r>
        <w:rPr>
          <w:b w:val="false"/>
          <w:lang w:val="bg-BG"/>
        </w:rPr>
        <w:t xml:space="preserve">”). Сумарен резултат от тези два типа интелект  е </w:t>
      </w:r>
      <w:r>
        <w:rPr>
          <w:lang w:val="bg-BG"/>
        </w:rPr>
        <w:t>общият интелект</w:t>
      </w:r>
      <w:r>
        <w:rPr>
          <w:b w:val="false"/>
          <w:lang w:val="bg-BG"/>
        </w:rPr>
        <w:t xml:space="preserve"> – т.нар. </w:t>
      </w:r>
      <w:r>
        <w:rPr>
          <w:lang w:val="bg-BG"/>
        </w:rPr>
        <w:t>g  фактор</w:t>
      </w:r>
      <w:r>
        <w:rPr>
          <w:b w:val="false"/>
          <w:lang w:val="bg-BG"/>
        </w:rPr>
        <w:t xml:space="preserve"> (general intelligence). </w:t>
      </w:r>
    </w:p>
    <w:p>
      <w:pPr>
        <w:pStyle w:val="Heading3"/>
        <w:jc w:val="both"/>
        <w:rPr>
          <w:b w:val="false"/>
          <w:b w:val="false"/>
          <w:lang w:val="bg-BG"/>
        </w:rPr>
      </w:pPr>
      <w:r>
        <w:rPr>
          <w:b w:val="false"/>
          <w:lang w:val="bg-BG"/>
        </w:rPr>
        <w:t xml:space="preserve">По отношение на промените на интелекта на старите хора се очертават следните по-важни тенденции: </w:t>
      </w:r>
    </w:p>
    <w:p>
      <w:pPr>
        <w:pStyle w:val="Heading3"/>
        <w:numPr>
          <w:ilvl w:val="0"/>
          <w:numId w:val="46"/>
        </w:numPr>
        <w:jc w:val="both"/>
        <w:rPr>
          <w:b w:val="false"/>
          <w:b w:val="false"/>
          <w:lang w:val="bg-BG"/>
        </w:rPr>
      </w:pPr>
      <w:r>
        <w:rPr>
          <w:b w:val="false"/>
          <w:lang w:val="bg-BG"/>
        </w:rPr>
        <w:t>подвижният интелект се влошава, докато кристализираният се запазва;</w:t>
      </w:r>
    </w:p>
    <w:p>
      <w:pPr>
        <w:pStyle w:val="Heading3"/>
        <w:numPr>
          <w:ilvl w:val="0"/>
          <w:numId w:val="46"/>
        </w:numPr>
        <w:jc w:val="both"/>
        <w:rPr>
          <w:b w:val="false"/>
          <w:b w:val="false"/>
          <w:lang w:val="bg-BG"/>
        </w:rPr>
      </w:pPr>
      <w:r>
        <w:rPr>
          <w:b w:val="false"/>
          <w:lang w:val="bg-BG"/>
        </w:rPr>
        <w:t xml:space="preserve">при решаване на тестови задачи изследваните лица обаче по-трудно отговарят на въпросите, които се отнасят до кристализирания интелект; </w:t>
      </w:r>
    </w:p>
    <w:p>
      <w:pPr>
        <w:pStyle w:val="Heading3"/>
        <w:numPr>
          <w:ilvl w:val="0"/>
          <w:numId w:val="46"/>
        </w:numPr>
        <w:jc w:val="both"/>
        <w:rPr>
          <w:b w:val="false"/>
          <w:b w:val="false"/>
          <w:lang w:val="bg-BG"/>
        </w:rPr>
      </w:pPr>
      <w:r>
        <w:rPr>
          <w:b w:val="false"/>
          <w:lang w:val="bg-BG"/>
        </w:rPr>
        <w:t xml:space="preserve">преобладаване на вербалния над невербалния интелект;  </w:t>
      </w:r>
    </w:p>
    <w:p>
      <w:pPr>
        <w:pStyle w:val="Heading3"/>
        <w:numPr>
          <w:ilvl w:val="0"/>
          <w:numId w:val="46"/>
        </w:numPr>
        <w:jc w:val="both"/>
        <w:rPr>
          <w:b w:val="false"/>
          <w:b w:val="false"/>
          <w:lang w:val="bg-BG"/>
        </w:rPr>
      </w:pPr>
      <w:r>
        <w:rPr>
          <w:b w:val="false"/>
          <w:lang w:val="bg-BG"/>
        </w:rPr>
        <w:t xml:space="preserve">занемаряването на интелектуалната активност се отразява неблагоприятно върху цялата умствена дейност; </w:t>
      </w:r>
    </w:p>
    <w:p>
      <w:pPr>
        <w:pStyle w:val="Heading3"/>
        <w:numPr>
          <w:ilvl w:val="0"/>
          <w:numId w:val="46"/>
        </w:numPr>
        <w:jc w:val="both"/>
        <w:rPr>
          <w:b w:val="false"/>
          <w:b w:val="false"/>
          <w:lang w:val="bg-BG"/>
        </w:rPr>
      </w:pPr>
      <w:r>
        <w:rPr>
          <w:b w:val="false"/>
          <w:lang w:val="bg-BG"/>
        </w:rPr>
        <w:t xml:space="preserve">интелектуалните способности рязко се влошават в края на живота на човека. Този факт има диагностично значение, тъй като показва, че наближава края на земния  му път; </w:t>
      </w:r>
    </w:p>
    <w:p>
      <w:pPr>
        <w:pStyle w:val="Heading3"/>
        <w:numPr>
          <w:ilvl w:val="0"/>
          <w:numId w:val="46"/>
        </w:numPr>
        <w:jc w:val="both"/>
        <w:rPr>
          <w:b w:val="false"/>
          <w:b w:val="false"/>
          <w:lang w:val="bg-BG"/>
        </w:rPr>
      </w:pPr>
      <w:r>
        <w:rPr>
          <w:b w:val="false"/>
          <w:lang w:val="bg-BG"/>
        </w:rPr>
        <w:t xml:space="preserve">за подобряване на интелекта допринасят както умствените, така и физическите упражнения. </w:t>
      </w:r>
    </w:p>
    <w:p>
      <w:pPr>
        <w:pStyle w:val="Heading3"/>
        <w:jc w:val="both"/>
        <w:rPr>
          <w:b w:val="false"/>
          <w:b w:val="false"/>
          <w:lang w:val="bg-BG"/>
        </w:rPr>
      </w:pPr>
      <w:r>
        <w:rPr>
          <w:b w:val="false"/>
          <w:lang w:val="bg-BG"/>
        </w:rPr>
        <w:t xml:space="preserve">Откроява се и тенденцията, че несловесните тестове за интелект, както и повечето тестове за абстрактно мислене показват рано започващ и изразен възрастов упадък. Тук спадат редица тестове, включващи психомоторно изпълнение, бързо дешифриране на информация, пространствено ориентиране, усвояване и решаване на принципно нови задачи, логичен анализ. Но друга група психични тестове (свързани с речниковите възможности, натрупаната информация и усвоения опит) показват много по-късно започващ и по-слабо изразен упадък. </w:t>
      </w:r>
    </w:p>
    <w:p>
      <w:pPr>
        <w:pStyle w:val="Heading3"/>
        <w:jc w:val="both"/>
        <w:rPr>
          <w:b w:val="false"/>
          <w:b w:val="false"/>
          <w:lang w:val="bg-BG"/>
        </w:rPr>
      </w:pPr>
      <w:r>
        <w:rPr>
          <w:b w:val="false"/>
          <w:lang w:val="bg-BG"/>
        </w:rPr>
        <w:t xml:space="preserve">Очертаните две групи тестове отразяват две различни страни на интелекта, които се променят разнопосочно с възрастта. При нормално протичане на процесите на стареенето подвижният интелект търпи известен упадък за сметка на положителното развитие на кристализирания интелект. </w:t>
      </w:r>
    </w:p>
    <w:p>
      <w:pPr>
        <w:pStyle w:val="Heading3"/>
        <w:jc w:val="both"/>
        <w:rPr/>
      </w:pPr>
      <w:r>
        <w:rPr>
          <w:b w:val="false"/>
          <w:lang w:val="bg-BG"/>
        </w:rPr>
        <w:t xml:space="preserve">Процесите на мисловен и интелектуален упадък не вървят еднопосочно и еднообразно при всички стари хора. Установяват се големи индивидуални различия, които имат своите причини. Смята се, че равнището на снижаването на умствената дейност и въобще на интелектуалните постижения е обусловено от действието на много фактори. Преди всичко това е общото състояние на организма, т.е. здравето на индивида в най-широк смисъл на думата, възможната намеса на преки мозъчни увреждания. Не на последно място стоят факторите образование, упражняване на мисловните способности през живота, богатството и качеството на социалните взаимоотношения и пр. </w:t>
      </w:r>
    </w:p>
    <w:p>
      <w:pPr>
        <w:pStyle w:val="Heading3"/>
        <w:jc w:val="both"/>
        <w:rPr/>
      </w:pPr>
      <w:r>
        <w:rPr>
          <w:b w:val="false"/>
          <w:lang w:val="bg-BG"/>
        </w:rPr>
        <w:t xml:space="preserve">Относително най-многочислени са психологическите изследвания, при които се установява положителна корелация между равнището на познавателната дейност у старите хора и предстоящата продължителност на живота. Проведените лонгитюдни изследвания показват, че умствените възможности в старостта са успоредни на очакваната продължителност на живота. От тези изследвания произтича основният извод, че състоянието на познавателните и психомоторните функции е мерило за вероятността на очаквания живот. С други думи, стареенето на централната нервна система е тясно свързано със стареенето на цялостния организъм. Наблюдаваните умствено-паметови промени, особено след 60-годишна възраст, най-често се тясно преплитат с промените в резултат на дискретни или клинично изявени мозъчни увреждания при различните заболявания. Здравословното състояние оказва влияние върху интелекта. У здравите хора той е относително запазен, докато у боледуващите се влошава. </w:t>
      </w:r>
    </w:p>
    <w:p>
      <w:pPr>
        <w:pStyle w:val="Heading3"/>
        <w:jc w:val="both"/>
        <w:rPr/>
      </w:pPr>
      <w:r>
        <w:rPr>
          <w:b w:val="false"/>
          <w:lang w:val="bg-BG"/>
        </w:rPr>
        <w:t xml:space="preserve">При общата оценка на възрастовите изменения на мисленето и интелекта се сблъскват </w:t>
      </w:r>
      <w:r>
        <w:rPr>
          <w:lang w:val="bg-BG"/>
        </w:rPr>
        <w:t>две противоположни тенденции:</w:t>
      </w:r>
      <w:r>
        <w:rPr>
          <w:b w:val="false"/>
          <w:lang w:val="bg-BG"/>
        </w:rPr>
        <w:t xml:space="preserve"> от една страна, възрастовите изменения в тесния смисъл на думата, обхващащи не само органични, а и психични компоненти, и, от друга – това “наследство”, натрупано в индивидуалния живот, в смисъл на степен на образованост, вид на занимания, равнище на мисловни и творчески постижения, което се подхвърля на въздействие и проявява своята специфичност в крайния резултат. Дори много автори са склонни да смятат, че характерът на словесно-асоциативните реакции и изпълнението на други задачи зависи в по-голяма степен от вече установения в живота начин на мислене, от упражняването на интелекта и от други натрупани фактори, отколкото от възрастта, взета като фактор сам по себе си. </w:t>
      </w:r>
    </w:p>
    <w:p>
      <w:pPr>
        <w:pStyle w:val="Heading3"/>
        <w:jc w:val="both"/>
        <w:rPr/>
      </w:pPr>
      <w:r>
        <w:rPr>
          <w:b w:val="false"/>
          <w:lang w:val="bg-BG"/>
        </w:rPr>
        <w:t xml:space="preserve">В напреднала и особено в старческа възраст се наблюдават редица инволюционни промени и във всички други психични процеси и свойства на личността – вниманието, въображението, чувствата, потребностите и интересите, волята и характера (14, с. 71 и сл.): </w:t>
      </w:r>
    </w:p>
    <w:p>
      <w:pPr>
        <w:pStyle w:val="Heading3"/>
        <w:jc w:val="both"/>
        <w:rPr>
          <w:b w:val="false"/>
          <w:b w:val="false"/>
          <w:lang w:val="bg-BG"/>
        </w:rPr>
      </w:pPr>
      <w:r>
        <w:rPr>
          <w:b w:val="false"/>
          <w:lang w:val="bg-BG"/>
        </w:rPr>
        <w:t xml:space="preserve">С възрастта отслабването на вниманието се изразява в: </w:t>
      </w:r>
    </w:p>
    <w:p>
      <w:pPr>
        <w:pStyle w:val="Heading3"/>
        <w:numPr>
          <w:ilvl w:val="0"/>
          <w:numId w:val="34"/>
        </w:numPr>
        <w:jc w:val="both"/>
        <w:rPr>
          <w:b w:val="false"/>
          <w:b w:val="false"/>
          <w:lang w:val="bg-BG"/>
        </w:rPr>
      </w:pPr>
      <w:r>
        <w:rPr>
          <w:b w:val="false"/>
          <w:lang w:val="bg-BG"/>
        </w:rPr>
        <w:t xml:space="preserve">постепенно се ограничава обемът му; </w:t>
      </w:r>
    </w:p>
    <w:p>
      <w:pPr>
        <w:pStyle w:val="Heading3"/>
        <w:numPr>
          <w:ilvl w:val="0"/>
          <w:numId w:val="34"/>
        </w:numPr>
        <w:jc w:val="both"/>
        <w:rPr>
          <w:b w:val="false"/>
          <w:b w:val="false"/>
          <w:lang w:val="bg-BG"/>
        </w:rPr>
      </w:pPr>
      <w:r>
        <w:rPr>
          <w:b w:val="false"/>
          <w:lang w:val="bg-BG"/>
        </w:rPr>
        <w:t xml:space="preserve">по-бавно и трудно се извършва превключването; </w:t>
      </w:r>
    </w:p>
    <w:p>
      <w:pPr>
        <w:pStyle w:val="Heading3"/>
        <w:numPr>
          <w:ilvl w:val="0"/>
          <w:numId w:val="34"/>
        </w:numPr>
        <w:jc w:val="both"/>
        <w:rPr>
          <w:b w:val="false"/>
          <w:b w:val="false"/>
          <w:lang w:val="bg-BG"/>
        </w:rPr>
      </w:pPr>
      <w:r>
        <w:rPr>
          <w:b w:val="false"/>
          <w:lang w:val="bg-BG"/>
        </w:rPr>
        <w:t>появява се едномерност на вниманието. Например при активност на зрителното внимание, по-слабо е участието на слуховото и т.н.;</w:t>
      </w:r>
    </w:p>
    <w:p>
      <w:pPr>
        <w:pStyle w:val="Heading3"/>
        <w:numPr>
          <w:ilvl w:val="0"/>
          <w:numId w:val="34"/>
        </w:numPr>
        <w:jc w:val="both"/>
        <w:rPr>
          <w:b w:val="false"/>
          <w:b w:val="false"/>
          <w:lang w:val="bg-BG"/>
        </w:rPr>
      </w:pPr>
      <w:r>
        <w:rPr>
          <w:b w:val="false"/>
          <w:lang w:val="bg-BG"/>
        </w:rPr>
        <w:t xml:space="preserve">отслабва силата на вниманието. По тази причина твърде често се пропускат съществени моменти от онова, което е в полезрението. </w:t>
      </w:r>
    </w:p>
    <w:p>
      <w:pPr>
        <w:pStyle w:val="Heading3"/>
        <w:jc w:val="both"/>
        <w:rPr>
          <w:b w:val="false"/>
          <w:b w:val="false"/>
          <w:lang w:val="bg-BG"/>
        </w:rPr>
      </w:pPr>
      <w:r>
        <w:rPr>
          <w:b w:val="false"/>
          <w:lang w:val="bg-BG"/>
        </w:rPr>
        <w:t xml:space="preserve">Инволюционните процеси на въображението и чувствата се проявяват при: </w:t>
      </w:r>
    </w:p>
    <w:p>
      <w:pPr>
        <w:pStyle w:val="Heading3"/>
        <w:numPr>
          <w:ilvl w:val="0"/>
          <w:numId w:val="39"/>
        </w:numPr>
        <w:jc w:val="both"/>
        <w:rPr>
          <w:b w:val="false"/>
          <w:b w:val="false"/>
          <w:lang w:val="bg-BG"/>
        </w:rPr>
      </w:pPr>
      <w:r>
        <w:rPr>
          <w:b w:val="false"/>
          <w:lang w:val="bg-BG"/>
        </w:rPr>
        <w:t xml:space="preserve">оттегляне на личността от активно участие в живота, заживяване с мисълта, че и е време да почива; </w:t>
      </w:r>
    </w:p>
    <w:p>
      <w:pPr>
        <w:pStyle w:val="Heading3"/>
        <w:numPr>
          <w:ilvl w:val="0"/>
          <w:numId w:val="39"/>
        </w:numPr>
        <w:jc w:val="both"/>
        <w:rPr>
          <w:b w:val="false"/>
          <w:b w:val="false"/>
          <w:lang w:val="bg-BG"/>
        </w:rPr>
      </w:pPr>
      <w:r>
        <w:rPr>
          <w:b w:val="false"/>
          <w:lang w:val="bg-BG"/>
        </w:rPr>
        <w:t>доминиране на отрицателни нагласи и преживявания. Те изключват въображението като конструктивен механизъм;</w:t>
      </w:r>
    </w:p>
    <w:p>
      <w:pPr>
        <w:pStyle w:val="Heading3"/>
        <w:numPr>
          <w:ilvl w:val="0"/>
          <w:numId w:val="39"/>
        </w:numPr>
        <w:jc w:val="both"/>
        <w:rPr>
          <w:b w:val="false"/>
          <w:b w:val="false"/>
          <w:lang w:val="bg-BG"/>
        </w:rPr>
      </w:pPr>
      <w:r>
        <w:rPr>
          <w:b w:val="false"/>
          <w:lang w:val="bg-BG"/>
        </w:rPr>
        <w:t xml:space="preserve">отслабване на нервната система и на генериращите й енергийни възможности. Емоционалният живот на човека става много по-раним, сферите на общуване и дейност се стесняват. </w:t>
      </w:r>
    </w:p>
    <w:p>
      <w:pPr>
        <w:pStyle w:val="Heading3"/>
        <w:jc w:val="both"/>
        <w:rPr>
          <w:b w:val="false"/>
          <w:b w:val="false"/>
          <w:lang w:val="bg-BG"/>
        </w:rPr>
      </w:pPr>
      <w:r>
        <w:rPr>
          <w:b w:val="false"/>
          <w:lang w:val="bg-BG"/>
        </w:rPr>
        <w:t xml:space="preserve">С възрастта потребностите и интересите също се променят: </w:t>
      </w:r>
    </w:p>
    <w:p>
      <w:pPr>
        <w:pStyle w:val="Heading3"/>
        <w:numPr>
          <w:ilvl w:val="0"/>
          <w:numId w:val="23"/>
        </w:numPr>
        <w:jc w:val="both"/>
        <w:rPr>
          <w:b w:val="false"/>
          <w:b w:val="false"/>
          <w:lang w:val="bg-BG"/>
        </w:rPr>
      </w:pPr>
      <w:r>
        <w:rPr>
          <w:b w:val="false"/>
          <w:lang w:val="bg-BG"/>
        </w:rPr>
        <w:t xml:space="preserve">намалява броят на актуалните потребности и интереси; </w:t>
      </w:r>
    </w:p>
    <w:p>
      <w:pPr>
        <w:pStyle w:val="Heading3"/>
        <w:numPr>
          <w:ilvl w:val="0"/>
          <w:numId w:val="23"/>
        </w:numPr>
        <w:jc w:val="both"/>
        <w:rPr/>
      </w:pPr>
      <w:r>
        <w:rPr>
          <w:b w:val="false"/>
          <w:lang w:val="bg-BG"/>
        </w:rPr>
        <w:t>много потребности разменят местата си. Някои, които на младини са били по-назад и не им е обръщано достатъчно внимание, стават доминиращи, силно заангажиращи мислите и чувствата. Такива например са потребностите за здравето, за рационален режим на труд и почивка, за начина на хранене и пр.</w:t>
      </w:r>
    </w:p>
    <w:p>
      <w:pPr>
        <w:pStyle w:val="Heading3"/>
        <w:numPr>
          <w:ilvl w:val="0"/>
          <w:numId w:val="23"/>
        </w:numPr>
        <w:jc w:val="both"/>
        <w:rPr>
          <w:b w:val="false"/>
          <w:b w:val="false"/>
          <w:lang w:val="bg-BG"/>
        </w:rPr>
      </w:pPr>
      <w:r>
        <w:rPr>
          <w:b w:val="false"/>
          <w:lang w:val="bg-BG"/>
        </w:rPr>
        <w:t xml:space="preserve">актуални преди потребности и интереси отстъпват място на други. Например акцентът се поставя върху грижите за спокойствие, за избягване на физически и психически пренапрежения, за разходки сред природата и т.н. </w:t>
      </w:r>
    </w:p>
    <w:p>
      <w:pPr>
        <w:pStyle w:val="Heading3"/>
        <w:ind w:left="60" w:firstLine="567"/>
        <w:jc w:val="both"/>
        <w:rPr>
          <w:b w:val="false"/>
          <w:b w:val="false"/>
          <w:lang w:val="bg-BG"/>
        </w:rPr>
      </w:pPr>
      <w:r>
        <w:rPr>
          <w:b w:val="false"/>
          <w:lang w:val="bg-BG"/>
        </w:rPr>
        <w:t>Негативните изменения във волята и характера с възрастта се изразяват в:</w:t>
      </w:r>
    </w:p>
    <w:p>
      <w:pPr>
        <w:pStyle w:val="Heading3"/>
        <w:numPr>
          <w:ilvl w:val="0"/>
          <w:numId w:val="82"/>
        </w:numPr>
        <w:jc w:val="both"/>
        <w:rPr>
          <w:b w:val="false"/>
          <w:b w:val="false"/>
          <w:lang w:val="bg-BG"/>
        </w:rPr>
      </w:pPr>
      <w:r>
        <w:rPr>
          <w:b w:val="false"/>
          <w:lang w:val="bg-BG"/>
        </w:rPr>
        <w:t xml:space="preserve">постепенно стесняване на кръга на целите и тяхната перспективност; </w:t>
      </w:r>
    </w:p>
    <w:p>
      <w:pPr>
        <w:pStyle w:val="Heading3"/>
        <w:numPr>
          <w:ilvl w:val="0"/>
          <w:numId w:val="82"/>
        </w:numPr>
        <w:jc w:val="both"/>
        <w:rPr>
          <w:b w:val="false"/>
          <w:b w:val="false"/>
          <w:lang w:val="bg-BG"/>
        </w:rPr>
      </w:pPr>
      <w:r>
        <w:rPr>
          <w:b w:val="false"/>
          <w:lang w:val="bg-BG"/>
        </w:rPr>
        <w:t xml:space="preserve">по-изразена и по-продължителна борба на мотиви, засилване на колебанията при избор на цели, на начини и средства за тяхното изпълнение. В резултат на това често пъти нерешителността се превръща в трайна черта на личността; </w:t>
      </w:r>
    </w:p>
    <w:p>
      <w:pPr>
        <w:pStyle w:val="Heading3"/>
        <w:numPr>
          <w:ilvl w:val="0"/>
          <w:numId w:val="82"/>
        </w:numPr>
        <w:jc w:val="both"/>
        <w:rPr>
          <w:b w:val="false"/>
          <w:b w:val="false"/>
          <w:lang w:val="bg-BG"/>
        </w:rPr>
      </w:pPr>
      <w:r>
        <w:rPr>
          <w:b w:val="false"/>
          <w:lang w:val="bg-BG"/>
        </w:rPr>
        <w:t xml:space="preserve">отслабване на готовността за волеви усилия; невъзприемчивост към новото, непознатото; </w:t>
      </w:r>
    </w:p>
    <w:p>
      <w:pPr>
        <w:pStyle w:val="Heading3"/>
        <w:numPr>
          <w:ilvl w:val="0"/>
          <w:numId w:val="82"/>
        </w:numPr>
        <w:jc w:val="both"/>
        <w:rPr>
          <w:b w:val="false"/>
          <w:b w:val="false"/>
          <w:lang w:val="bg-BG"/>
        </w:rPr>
      </w:pPr>
      <w:r>
        <w:rPr>
          <w:b w:val="false"/>
          <w:lang w:val="bg-BG"/>
        </w:rPr>
        <w:t xml:space="preserve">ограничаване на социалното изявяване на личността; и др. </w:t>
      </w:r>
    </w:p>
    <w:p>
      <w:pPr>
        <w:pStyle w:val="Heading3"/>
        <w:jc w:val="both"/>
        <w:rPr>
          <w:b w:val="false"/>
          <w:b w:val="false"/>
          <w:lang w:val="bg-BG"/>
        </w:rPr>
      </w:pPr>
      <w:r>
        <w:rPr>
          <w:b w:val="false"/>
          <w:lang w:val="bg-BG"/>
        </w:rPr>
        <w:t xml:space="preserve">Посочените инволютивни изменения в отделните психични процеси обаче не са задължителни и присъщи на всички хора в напреднала и старческа възраст. Наблюдават се значителни индивидуални различия, които се обуславят от сложен комплекс от наследствени и социално обусловени фактори. </w:t>
      </w:r>
    </w:p>
    <w:p>
      <w:pPr>
        <w:pStyle w:val="Heading3"/>
        <w:jc w:val="both"/>
        <w:rPr/>
      </w:pPr>
      <w:r>
        <w:rPr>
          <w:b w:val="false"/>
          <w:lang w:val="bg-BG"/>
        </w:rPr>
        <w:t xml:space="preserve">От равнището на развитието на мисленето, паметта, интелекта и останалите психични процеси до голяма степен зависи </w:t>
      </w:r>
      <w:r>
        <w:rPr>
          <w:lang w:val="bg-BG"/>
        </w:rPr>
        <w:t xml:space="preserve">умствената работоспособност </w:t>
      </w:r>
      <w:r>
        <w:rPr>
          <w:b w:val="false"/>
          <w:lang w:val="bg-BG"/>
        </w:rPr>
        <w:t xml:space="preserve">и </w:t>
      </w:r>
      <w:r>
        <w:rPr>
          <w:lang w:val="bg-BG"/>
        </w:rPr>
        <w:t>продуктивност в старостта.</w:t>
      </w:r>
      <w:r>
        <w:rPr>
          <w:b w:val="false"/>
          <w:lang w:val="bg-BG"/>
        </w:rPr>
        <w:t xml:space="preserve"> Изследванията например върху двигателните трудови умения на заети в производството работници показват, че те могат да запазят в цялост добри възможности и в напреднала възраст. Ето защо със своята опитност работещите пенсионери са твърде ценна за производителността на труда група. Въз основа на експерименти за  извършване на еднотипна (по-малко или по-продължителна) повтаряща се психомоторна дейност се установява плавно прогресиращ упадък на работоспособността след 60-годишна възраст, който рязко се увеличава едва след 75 години. </w:t>
      </w:r>
    </w:p>
    <w:p>
      <w:pPr>
        <w:pStyle w:val="Heading3"/>
        <w:jc w:val="both"/>
        <w:rPr/>
      </w:pPr>
      <w:r>
        <w:rPr>
          <w:b w:val="false"/>
          <w:lang w:val="bg-BG"/>
        </w:rPr>
        <w:t xml:space="preserve">Изследванията върху творческата продуктивност не са много. Обект на проучвания са главно творците на умствения труд: учени, музиканти, писатели, художници и др. Основният извод, който се прави, е, че съществуват твърде големи индивидуални различия в постиженията в отделните области, но обикновено най-големи успехи се наблюдават между 30-40 годишна възраст. Литературната продуктивност, както и постиженията в областта на изкуството имат място и в много по-късна възраст, независимо че е налице тенденция за възрастов упадък в количеството и качеството на творческите открития. В това отношение биографиите на много забележителни творци ни поразяват със запазените им творчески способности и свежест на вдъхновението дори в късна възраст (Клод </w:t>
      </w:r>
      <w:r>
        <w:rPr>
          <w:lang w:val="bg-BG"/>
        </w:rPr>
        <w:t>Моне</w:t>
      </w:r>
      <w:r>
        <w:rPr>
          <w:b w:val="false"/>
          <w:lang w:val="bg-BG"/>
        </w:rPr>
        <w:t xml:space="preserve">, Огюст </w:t>
      </w:r>
      <w:r>
        <w:rPr>
          <w:lang w:val="bg-BG"/>
        </w:rPr>
        <w:t>Реноар</w:t>
      </w:r>
      <w:r>
        <w:rPr>
          <w:b w:val="false"/>
          <w:lang w:val="bg-BG"/>
        </w:rPr>
        <w:t xml:space="preserve">, Ел </w:t>
      </w:r>
      <w:r>
        <w:rPr>
          <w:lang w:val="bg-BG"/>
        </w:rPr>
        <w:t>Греко,</w:t>
      </w:r>
      <w:r>
        <w:rPr>
          <w:b w:val="false"/>
          <w:lang w:val="bg-BG"/>
        </w:rPr>
        <w:t xml:space="preserve"> Пабло </w:t>
      </w:r>
      <w:r>
        <w:rPr>
          <w:lang w:val="bg-BG"/>
        </w:rPr>
        <w:t>Пикасо,</w:t>
      </w:r>
      <w:r>
        <w:rPr>
          <w:b w:val="false"/>
          <w:lang w:val="bg-BG"/>
        </w:rPr>
        <w:t xml:space="preserve"> Робиндранат </w:t>
      </w:r>
      <w:r>
        <w:rPr>
          <w:lang w:val="bg-BG"/>
        </w:rPr>
        <w:t>Тагор,</w:t>
      </w:r>
      <w:r>
        <w:rPr>
          <w:b w:val="false"/>
          <w:lang w:val="bg-BG"/>
        </w:rPr>
        <w:t xml:space="preserve"> Лев </w:t>
      </w:r>
      <w:r>
        <w:rPr>
          <w:lang w:val="bg-BG"/>
        </w:rPr>
        <w:t>Толстой,</w:t>
      </w:r>
      <w:r>
        <w:rPr>
          <w:b w:val="false"/>
          <w:lang w:val="bg-BG"/>
        </w:rPr>
        <w:t xml:space="preserve"> Йохан Себастиан </w:t>
      </w:r>
      <w:r>
        <w:rPr>
          <w:lang w:val="bg-BG"/>
        </w:rPr>
        <w:t>Бах</w:t>
      </w:r>
      <w:r>
        <w:rPr>
          <w:b w:val="false"/>
          <w:lang w:val="bg-BG"/>
        </w:rPr>
        <w:t xml:space="preserve">, </w:t>
      </w:r>
      <w:r>
        <w:rPr>
          <w:lang w:val="bg-BG"/>
        </w:rPr>
        <w:t>Хайди</w:t>
      </w:r>
      <w:r>
        <w:rPr>
          <w:b w:val="false"/>
          <w:lang w:val="bg-BG"/>
        </w:rPr>
        <w:t xml:space="preserve">, Дора </w:t>
      </w:r>
      <w:r>
        <w:rPr>
          <w:lang w:val="bg-BG"/>
        </w:rPr>
        <w:t>Габе</w:t>
      </w:r>
      <w:r>
        <w:rPr>
          <w:b w:val="false"/>
          <w:lang w:val="bg-BG"/>
        </w:rPr>
        <w:t xml:space="preserve">, Елисавета </w:t>
      </w:r>
      <w:r>
        <w:rPr>
          <w:lang w:val="bg-BG"/>
        </w:rPr>
        <w:t>Багряна,</w:t>
      </w:r>
      <w:r>
        <w:rPr>
          <w:b w:val="false"/>
          <w:lang w:val="bg-BG"/>
        </w:rPr>
        <w:t xml:space="preserve"> проф. Генчо </w:t>
      </w:r>
      <w:r>
        <w:rPr>
          <w:lang w:val="bg-BG"/>
        </w:rPr>
        <w:t xml:space="preserve">Пирьов </w:t>
      </w:r>
      <w:r>
        <w:rPr>
          <w:b w:val="false"/>
          <w:lang w:val="bg-BG"/>
        </w:rPr>
        <w:t xml:space="preserve">и много други). </w:t>
      </w:r>
    </w:p>
    <w:p>
      <w:pPr>
        <w:pStyle w:val="Heading4"/>
        <w:rPr/>
      </w:pPr>
      <w:r>
        <w:rPr/>
        <w:t xml:space="preserve">6.2.4. Личностни промени при стареенето и в старостта </w:t>
      </w:r>
    </w:p>
    <w:p>
      <w:pPr>
        <w:pStyle w:val="Heading3"/>
        <w:jc w:val="both"/>
        <w:rPr>
          <w:b w:val="false"/>
          <w:b w:val="false"/>
          <w:lang w:val="bg-BG"/>
        </w:rPr>
      </w:pPr>
      <w:r>
        <w:rPr>
          <w:b w:val="false"/>
          <w:lang w:val="bg-BG"/>
        </w:rPr>
        <w:t>Широко популярно е твърдението, че всеки човек има две лица – външно, което се онасредява биологически и вътрешно – което се придобива по време на социализацията му и обхваща психичните процеси, свойства, състояния, знанията, опита. По аналогия с термина “лице” вътрешната психическата същност на човека го характеризира като личност. Всяка личност се отличава с трайни индивидуални черти и се изгражда  и изменя в  продължение на целия си живот.</w:t>
      </w:r>
    </w:p>
    <w:p>
      <w:pPr>
        <w:pStyle w:val="Heading3"/>
        <w:jc w:val="both"/>
        <w:rPr/>
      </w:pPr>
      <w:r>
        <w:rPr>
          <w:b w:val="false"/>
          <w:lang w:val="bg-BG"/>
        </w:rPr>
        <w:t xml:space="preserve">Както изтъква И.Х. </w:t>
      </w:r>
      <w:r>
        <w:rPr>
          <w:lang w:val="bg-BG"/>
        </w:rPr>
        <w:t>Петров</w:t>
      </w:r>
      <w:r>
        <w:rPr>
          <w:b w:val="false"/>
          <w:lang w:val="bg-BG"/>
        </w:rPr>
        <w:t xml:space="preserve"> (36, с. 43 и сл.) личностната характеристика на зрелия човек е твърде стабилна и малко се изменя във втората половина на жизнения му път. Впечатленията за значителни промени в облика на стария човек са създадени главно от клиницисти от наблюдения върху екстремни групи стари хора (настанени в болници или старчески домове лица, пациенти, посещаващи амбулаторно здравните служби, и др.). Експерименталните данни показват по-скоро, че личностните изменения при големия брой живеещи в семействата си стареещи и стари хора са нерезки. Няма никакво съмнение, че старостта, особено когато става дума за “доброто” остаряване (без сериозни заболявания)  носи със себе си много ценни, положителни качества. Способностите за разсъждения и обективно оценяване както на  явленията и събитията от външния свят, така и на своя вътрешен мир се усъвършенстват, тъй като те отразяват не само равнището на интелекта, а и сумарния резултат на един мъдро изживян живот. </w:t>
      </w:r>
    </w:p>
    <w:p>
      <w:pPr>
        <w:pStyle w:val="Heading3"/>
        <w:jc w:val="both"/>
        <w:rPr/>
      </w:pPr>
      <w:r>
        <w:rPr>
          <w:b w:val="false"/>
          <w:lang w:val="bg-BG"/>
        </w:rPr>
        <w:t xml:space="preserve">С  напредването на възрастта в резултат на биологични инволюционни процеси (най-вече на намалената неврофизиологична лабилност на централнонервните структури) и под влиянието на социални и психогенни фактори настъпват различно изразени при отделните индивиди промени в тяхната активност, поведение, самочувствие, самооценка и пр.  Стареещият човек се приспособява и реагира твърде субективно към доловените промени в строежа и функциите на своето  тяло, към собствените си психични промени, към изменените в старостта житейски ситуации, към намалената предстояща продължителност на живота и приближаващата се смърт и др. При това според мнозина учени “екзогенните” фактори (социална и семейна среда, образование, начин на живот, упражняване на активност и пр.) оказват по-съществено влияние върху развитието на личността на стареещия човек, отколкото “ендогенните” (биологичните) фактори. Върху нарастващата с остаряването личностна диференциация немалко влияние оказват и  болестните процеси, които в някои случаи създават и определени нивелиращи тенденции на психична промяна. Открояват се следните по-важни тенденции: </w:t>
      </w:r>
    </w:p>
    <w:p>
      <w:pPr>
        <w:pStyle w:val="Heading3"/>
        <w:numPr>
          <w:ilvl w:val="0"/>
          <w:numId w:val="51"/>
        </w:numPr>
        <w:jc w:val="both"/>
        <w:rPr/>
      </w:pPr>
      <w:r>
        <w:rPr>
          <w:lang w:val="bg-BG"/>
        </w:rPr>
        <w:t>Промени в спонтанната активност.</w:t>
      </w:r>
      <w:r>
        <w:rPr>
          <w:b w:val="false"/>
          <w:lang w:val="bg-BG"/>
        </w:rPr>
        <w:t xml:space="preserve"> Намалената жизненост обуславя намалената спонтанна активност и поривност (импулсивност) в цялостното поведение. Докато младите хора обичат разнообразието и динамиката, стареещият човек започва да ограничава поведението си в рамки, съобразени с променените биологични възможности. Той е много по-малко поривен, стреми се да избягва трудните положения и агресивното поведение. Според някои автори голяма част от хората откъм средата на шестото десетилетие стават по-сговорчиви, по-въздържани в обноските си, предпочитат миролюбивите и компромисни решения в междучовешките отношения. В напреднала и особено в старческа възраст значително намалява и постепенно угасва сексуалната активност, като сексуалният интерес може да се запази по-дълго време. Наред с тези общи тенденции съществуват значителни индивидуални различия.</w:t>
      </w:r>
    </w:p>
    <w:p>
      <w:pPr>
        <w:pStyle w:val="Heading3"/>
        <w:numPr>
          <w:ilvl w:val="0"/>
          <w:numId w:val="51"/>
        </w:numPr>
        <w:jc w:val="both"/>
        <w:rPr/>
      </w:pPr>
      <w:r>
        <w:rPr>
          <w:lang w:val="bg-BG"/>
        </w:rPr>
        <w:t xml:space="preserve">Ригидност.  </w:t>
      </w:r>
      <w:r>
        <w:rPr>
          <w:b w:val="false"/>
          <w:lang w:val="bg-BG"/>
        </w:rPr>
        <w:t xml:space="preserve">Ригидността е обща характеристика не само на мисловната дейност, но и на цялостното поведение на старите хора. Тя се изразява в намалената склонност или неприемането на промяна, когато промяната е необходима. Ригидното поддържане на веднъж възприетата гледна точка и консерватизмът на старите хора (или по-точно на част от тях) са познати от всекидневния живот. Те се потвърждават и от редица експерименти. Независимо от това, механизмът на ригидността остава неизяснен докрай. За обяснението й се търсят както емоционално-личностни, така и познавателни фактори. Съществуват хипотези, които разглеждат ригидността като приспособителна реакция у несигурни и тревожни личности. Несигурността води до предпазлив подход, до продължително “разглеждане” на ситуацията до склонност за придържане към веднъж възприетия начин на отговор или начин на поведение. Тревожната личност предпочита да употреби повече време, но да не се изложи на риска да реагира неправилно. Мнозина учени смятат, че емоционално-личностните фактори са важни, но те не при всички случаи на ригидност са определящи. Върху това състояние оказват влияние и редица промени в познавателната дейност: влошаване на възприятията, промени в интелекта, вниманието и готовността за отговор и пр. С други думи, ригидността се разглежда не като някаква специфична характеристика, а се обуславя по същество от общото забавяне на реакциите със стареенето, с пониженото равнище на възбудимост и намалената подвижност на нервните процеси.  Съществуват множество и различни форми и прояви на ригидно поведение, които не могат да  бъдат разглеждани еднопланово. Така например според някои автори в по-голяма или по-малка степен ригидността се определя от културни и ситуационни фактори. Днешният стар човек може да е по-ригиден от своя млад съвременник, но може също да се очаква утрешният стар човек да бъде по-малко ригиден от днешния и не много по-ригиден от съвременните му младежи. Доколкото при сегашните изследвания се установява връзка между интелектуалния квотиент (квотиента на интелигентността)  и ригидността, може да се очаква, че интелектуалното израстване на съвременното и на следващите поколения ще намаляват ригидността. В същност може да се говори за тристранна връзка: старите хора с по-ниски постижения при тестовете за интелект дават по-лоши показатели при тестовете за ригидност и същевременно са по-бавни при изследване времето на реакция. Оттук би трябвало да се очаква, че един стар човек с ясен ум и напълно запазена дееспособност ще бъде относително гъвкав и бърз във вземането на решения и в цялостната му дейност.  </w:t>
      </w:r>
    </w:p>
    <w:p>
      <w:pPr>
        <w:pStyle w:val="Heading3"/>
        <w:numPr>
          <w:ilvl w:val="0"/>
          <w:numId w:val="51"/>
        </w:numPr>
        <w:jc w:val="both"/>
        <w:rPr/>
      </w:pPr>
      <w:r>
        <w:rPr>
          <w:lang w:val="bg-BG"/>
        </w:rPr>
        <w:t>Предпазливост.</w:t>
      </w:r>
      <w:r>
        <w:rPr>
          <w:b w:val="false"/>
          <w:lang w:val="bg-BG"/>
        </w:rPr>
        <w:t xml:space="preserve"> Предпазливостта в поведението на старите хора е тясно свързана с ригидността и вероятно се обуславя от сходни фактори на познавателната дейност и на мотивацията. Предпазливостта често се изразява в забавеното вземане на решение, което е свързано с необходимостта за по-дълго “разглеждане” на дразнителите, с нуждата от повече информация за постигане на надеждно равнище в изпълнението.  С напредване на възрастта се наблюдава тенденцията за намаляване на доверието на стария човек към собствените му решения. За да пристъпи към действие, той се нуждае в много по-голяма степен от предварителна увереност в успеха. С други думи, при старите хора предпазливостта е свързана с дискомфорт и несигурност, с очакване и страх от неуспех. Тя изпълнява ролята на защитна реакция, при която старият човек цени повече постигането на точност, отколкото бързина на изпълнението. Причините за намаляване на доверието на старите хора в своите действия обикновено са комплексни: от една страна, това се дължи на възрастовия упадък в едни или други познавателни функции; от друга – на някои личностни характеристики (като например повишеното равнище на тревожност) и от трета – особено когато те възприемат социалното обкръжение като заплашващо и отхвърлящо ги.</w:t>
      </w:r>
    </w:p>
    <w:p>
      <w:pPr>
        <w:pStyle w:val="Heading3"/>
        <w:numPr>
          <w:ilvl w:val="0"/>
          <w:numId w:val="51"/>
        </w:numPr>
        <w:jc w:val="both"/>
        <w:rPr/>
      </w:pPr>
      <w:r>
        <w:rPr>
          <w:lang w:val="bg-BG"/>
        </w:rPr>
        <w:t>Интроверсия.</w:t>
      </w:r>
      <w:r>
        <w:rPr>
          <w:b w:val="false"/>
          <w:lang w:val="bg-BG"/>
        </w:rPr>
        <w:t xml:space="preserve">   Тестовите изследвания показват, че у голяма част от хората в напреднала и старческа възраст намаляват, макар и в лека степен, общото равнище на дейност и равнището на социалните контакти. Настъпва промяна от активно към пасивно поведение и от ориентация към външния свят към ориентация към вътрешния свят на личността. Несъмнено отслабването на контактите с външния свят е една от най-тежките метаморфози на старческата социализация. С промяната на социалния статус на стария човек в живота му вече е отредена второстепенна роля. Тя е резултат не само от намалените биопсихични възможности, а и от понижения престиж пред обществото и семейството.  Постепенно се формира ново отношение към проблемите на живота, в резултат на дезактуализирането на социалните роли, на икономическото и социалното откъсване на децата, които създават нови семейства, на разграждането на традиционните структури на семейството и т.н.</w:t>
      </w:r>
    </w:p>
    <w:p>
      <w:pPr>
        <w:pStyle w:val="Heading3"/>
        <w:jc w:val="both"/>
        <w:rPr/>
      </w:pPr>
      <w:r>
        <w:rPr>
          <w:b w:val="false"/>
          <w:lang w:val="bg-BG"/>
        </w:rPr>
        <w:t xml:space="preserve">Една от най-характерните особености на остаряването е намаляване на желанието и  способността да се приеме или усвои новото. За мнозина стари хора става все по-трудно да приемат новите явления  в живота и да им дадат обяснения. Поради това обикновено се казва, че старостта е консервативна, че тя пази ревниво спомена за миналото, често пъти му придава романтична и идеална окраска, като го противопоставя на настоящето с настойчивост и дълбока вътрешна убеденост. Новата мода, новите обноски, вкусове, отношение към жизнените проблеми твърде често за старите хора са неприемливи и непоносими. Стремежът на по-младото поколение към независимост, към търсенето на по-голяма свобода, към освобождаване от опеката на по-възрастните често пъти води до възникване на противоречия и конфликти. Конфликтът между различните поколения е толкова вечен, колкото вечен е и светът. Той намира израз в думите на старите хора: “Какви бяхме ние някога, пък и бяха хубави времената. А сегашната младеж е съвсем друга, няма никакво уважение към старите”. </w:t>
      </w:r>
    </w:p>
    <w:p>
      <w:pPr>
        <w:pStyle w:val="Heading3"/>
        <w:jc w:val="both"/>
        <w:rPr/>
      </w:pPr>
      <w:r>
        <w:rPr>
          <w:b w:val="false"/>
          <w:lang w:val="bg-BG"/>
        </w:rPr>
        <w:t xml:space="preserve">При повечето от изследванията върху възрастовите промени в интересите се установява тяхното стесняване и вътрешно пренасочване в хода на остаряването. Значително намалява интересът към дейности, изискващи физическо напрежение или бързо приспособяване. Старите хора по-малко се увличат от спорт, от шумни и интензивни забавления. Относително отслабват и насочените навън интереси в смисъл, че старите хора в редица случаи предпочитат индивидуалните занимания пред заниманията, изискващи голяма  група от хора. Известна е например склонността на някои по-възрастни хора към градинарство, към отглеждането на цветя и други “тихи” занимания в кръга на домакинството, при които те могат сами да определят темпа и интензивността на полаганите усилия.  </w:t>
      </w:r>
    </w:p>
    <w:p>
      <w:pPr>
        <w:pStyle w:val="Heading3"/>
        <w:jc w:val="both"/>
        <w:rPr/>
      </w:pPr>
      <w:r>
        <w:rPr>
          <w:b w:val="false"/>
          <w:lang w:val="bg-BG"/>
        </w:rPr>
        <w:t>Що се отнася до културните интереси, според някои изследвания четенето не претърпява особени възрастови промени. По-скоро се променят предпочитанията към тематиката и формите му: отдава се предпочитание на подбрана информация, като обикновено любимото четиво е вестникът. Съществуват</w:t>
      </w:r>
      <w:r>
        <w:rPr>
          <w:lang w:val="bg-BG"/>
        </w:rPr>
        <w:t xml:space="preserve"> </w:t>
      </w:r>
      <w:r>
        <w:rPr>
          <w:b w:val="false"/>
          <w:lang w:val="bg-BG"/>
        </w:rPr>
        <w:t>възрастови различия и в литературните вкусове по отношение на жанровете: много стари хора обичат мемоарната литература, а отбягват например научно-фантастичната. Честотата на посещаване на кино, театър, опера обикновено намалява с възрастта, докато интересът към музеите се увеличава; гледането на телевизия остава, общо взето, постоянно в различните възрасти. Известно е, че старите хора показват увеличена склонност към беседи и събрания. Немалко възрастни и стари хора са любители на здравните беседи – вероятно поради вътрешното пренасочване, включващо повишен интерес към собствения организъм. Тези особености благоприятстват да бъдат привличани определен кръг хора в напреднала възраст към организирани занимания с физически упражнения и туризъм, при все че спонтанната физическа активност спада с остаряването.  Известна част от живеещите в семействата си стари хора охотно участват в различни форми на обществена и читалищна дейност.  С възрастта нарастват и осмислените, целенасочените интереси към собствената професия. Старостта е благоприятна възраст за творчески обобщения и систематизиране на натрупания опит. Все пак възрастните и старите хора представляват една твърде хетерогенна група по отношение на интересите и нагласите им.</w:t>
      </w:r>
    </w:p>
    <w:p>
      <w:pPr>
        <w:pStyle w:val="Heading3"/>
        <w:numPr>
          <w:ilvl w:val="0"/>
          <w:numId w:val="51"/>
        </w:numPr>
        <w:jc w:val="both"/>
        <w:rPr/>
      </w:pPr>
      <w:r>
        <w:rPr>
          <w:lang w:val="bg-BG"/>
        </w:rPr>
        <w:t xml:space="preserve">Емоционални промени. </w:t>
      </w:r>
      <w:r>
        <w:rPr>
          <w:b w:val="false"/>
          <w:lang w:val="bg-BG"/>
        </w:rPr>
        <w:t>С напредването на възрастта  диапазонът на емоционалния живот на старите хора постепенно се ограничава най-вече поради стесняването на социалните им контакти. Освен това налице е и тенденция за стесняване на силата и размаха на чувствата им.  Емоционалната “умереност” на старите хора е качество, което има и своя положителна страна. Установено е, че жените често са по-емоционални и по-ярко изразяват своите емоционални състояния. Те много по-лесно се</w:t>
      </w:r>
      <w:r>
        <w:rPr>
          <w:lang w:val="bg-BG"/>
        </w:rPr>
        <w:t xml:space="preserve"> </w:t>
      </w:r>
      <w:r>
        <w:rPr>
          <w:b w:val="false"/>
          <w:lang w:val="bg-BG"/>
        </w:rPr>
        <w:t>подават на емоционални внушения. Мнозина изследователи обръщат внимание на тенденцията за известно засилване на състоянието на депресия у хората най-вече в старческа възраст. При това депресивният синдром най-често се свързва с психичните заболявания, като депресивните промени в рамките на нормалното стареене са почти неизучена област. Прекъсването на трудовата дейност, променените социални роли, честото подценяване на стария човек от по-младите, загубите на близки хора и самотността са важни психотравмени фактори за пораждане на депресивност. Според направени проучвания почти винаги влошаването в късна възраст на соматичното здраве и неминуемото приближаване към смъртта са предпоставки за депресивни преживявания. Емоционалното обедняване и безразличието са друга тенденция за промяна в старческа възраст, която до голяма степен се обуславя от развитието на мозъчна патология. В старостта са по-чести опитите за самоубийство и е значително по-голям относителният дял на реализираните самоубийства.  От по-общите промени на емоционалността могат да се откроят и понижаването на яркостта на преживяванията,  невъздържана експесивност, прояви на малодушие и пр.</w:t>
      </w:r>
    </w:p>
    <w:p>
      <w:pPr>
        <w:pStyle w:val="Heading3"/>
        <w:numPr>
          <w:ilvl w:val="0"/>
          <w:numId w:val="51"/>
        </w:numPr>
        <w:jc w:val="both"/>
        <w:rPr/>
      </w:pPr>
      <w:r>
        <w:rPr>
          <w:lang w:val="bg-BG"/>
        </w:rPr>
        <w:t xml:space="preserve">Самооценка. </w:t>
      </w:r>
      <w:r>
        <w:rPr>
          <w:b w:val="false"/>
          <w:lang w:val="bg-BG"/>
        </w:rPr>
        <w:t>Промените в самооценката на стареещия и стария човек имат ключово значение за разбиране не само на депресивността, а и въобще на психичното равновесие в старостта. Съществуват безспорни данни, че самооценката и самочувствието на старите хора се определят в значителна степен от отношението и подхода на другите хора, на семейството и обществото към тях. Самооценката на стария човек от своя страна има значение за неговото социално поведение и отношение към другите. Налице е реципрочност. Ако обкръжението третира стария човек с уважение и това стимулира неговата самооценка, най-вероятно е този уверен в своята стойност и творчески възможности човек да подхожда към заобикалящия го свят и към младите поколения също с разбиране и добра воля. Напротив, онези стари хора, в които обкръжението индуцира отрицателно виждане на себе си, възприемат – главно към младите – отношение на защита, скептицизъм, недоверие и недружелюбие. При това установено е, че по принцип обективните факти на ситуацията нямат пряко определящо значение за поведението и преживяванията на индивида, а особено важно е как личността “вижда”, възприема и осъзнава тази ситуация. Така например не са редки случаите на мнителност,  обидчивост, дори враждебност,  без да има достатъчно основания за това. У някои стари хора мога да се появят черти на мърморене, свадливост, несговорчивост, лесна обидчивост, склонност към дребнави забележки, към “заяждане”, необоснована придирчивост и др.  Може да наблюдава емоционална неустойчивост, отслабване на собствения контрол върху проявите на раздразнителност и намалена задръжка на сълзите. В настроението започват да надделяват чертите на потиснатост, унилост, невеселост, навъсеност, угнетеност,  склонност към “тъжни размисли”.</w:t>
      </w:r>
    </w:p>
    <w:p>
      <w:pPr>
        <w:pStyle w:val="Heading3"/>
        <w:jc w:val="both"/>
        <w:rPr/>
      </w:pPr>
      <w:r>
        <w:rPr>
          <w:lang w:val="bg-BG"/>
        </w:rPr>
        <w:t xml:space="preserve">Адаптивността </w:t>
      </w:r>
      <w:r>
        <w:rPr>
          <w:b w:val="false"/>
          <w:lang w:val="bg-BG"/>
        </w:rPr>
        <w:t>с напредването на възрастта, както и типът самооценка до голяма степен зависят от самия тип личност на стария човек. Както посочва Л</w:t>
      </w:r>
      <w:r>
        <w:rPr>
          <w:lang w:val="bg-BG"/>
        </w:rPr>
        <w:t>. Георгиев</w:t>
      </w:r>
      <w:r>
        <w:rPr>
          <w:b w:val="false"/>
          <w:lang w:val="bg-BG"/>
        </w:rPr>
        <w:t xml:space="preserve"> (14, с. 100 и сл.) “по типови характеристики личностите могат да се разделят на няколко групи:</w:t>
      </w:r>
    </w:p>
    <w:p>
      <w:pPr>
        <w:pStyle w:val="Heading3"/>
        <w:numPr>
          <w:ilvl w:val="0"/>
          <w:numId w:val="59"/>
        </w:numPr>
        <w:jc w:val="both"/>
        <w:rPr/>
      </w:pPr>
      <w:r>
        <w:rPr>
          <w:lang w:val="bg-BG"/>
        </w:rPr>
        <w:t xml:space="preserve">Интегративни. </w:t>
      </w:r>
      <w:r>
        <w:rPr>
          <w:b w:val="false"/>
          <w:lang w:val="bg-BG"/>
        </w:rPr>
        <w:t xml:space="preserve">Приобщават се, но различно към многообразието от дейности. В зависимост от нова се разграничават </w:t>
      </w:r>
      <w:r>
        <w:rPr>
          <w:i/>
          <w:lang w:val="bg-BG"/>
        </w:rPr>
        <w:t>три подгрупи</w:t>
      </w:r>
      <w:r>
        <w:rPr>
          <w:b w:val="false"/>
          <w:lang w:val="bg-BG"/>
        </w:rPr>
        <w:t xml:space="preserve">: </w:t>
      </w:r>
      <w:r>
        <w:rPr>
          <w:i/>
          <w:lang w:val="bg-BG"/>
        </w:rPr>
        <w:t>конструктивен тип</w:t>
      </w:r>
      <w:r>
        <w:rPr>
          <w:b w:val="false"/>
          <w:lang w:val="bg-BG"/>
        </w:rPr>
        <w:t xml:space="preserve"> личности. Когато дадени дейности за тях стават непосилни, те лесно и бързо се сменят с други. Приемат спокойно напредването във възрастност. Доволни са от живота и са в добри отношения с околните; </w:t>
      </w:r>
      <w:r>
        <w:rPr>
          <w:i/>
          <w:lang w:val="bg-BG"/>
        </w:rPr>
        <w:t>фиксиран тип</w:t>
      </w:r>
      <w:r>
        <w:rPr>
          <w:lang w:val="bg-BG"/>
        </w:rPr>
        <w:t xml:space="preserve"> </w:t>
      </w:r>
      <w:r>
        <w:rPr>
          <w:b w:val="false"/>
          <w:lang w:val="bg-BG"/>
        </w:rPr>
        <w:t xml:space="preserve">личности. Избират престижни и доходни дейности. Това им коства по-голямо напрежение и психофизическо изразходване; </w:t>
      </w:r>
      <w:r>
        <w:rPr>
          <w:i/>
          <w:lang w:val="bg-BG"/>
        </w:rPr>
        <w:t>свободен тип</w:t>
      </w:r>
      <w:r>
        <w:rPr>
          <w:b w:val="false"/>
          <w:lang w:val="bg-BG"/>
        </w:rPr>
        <w:t xml:space="preserve"> личности. С възрастта те прибягват към по-леки и по-малко отговорни задължения. </w:t>
      </w:r>
    </w:p>
    <w:p>
      <w:pPr>
        <w:pStyle w:val="Heading3"/>
        <w:numPr>
          <w:ilvl w:val="0"/>
          <w:numId w:val="59"/>
        </w:numPr>
        <w:jc w:val="both"/>
        <w:rPr>
          <w:lang w:val="bg-BG"/>
        </w:rPr>
      </w:pPr>
      <w:r>
        <w:rPr>
          <w:lang w:val="bg-BG"/>
        </w:rPr>
        <w:t>Личности със защитно поведение.</w:t>
      </w:r>
      <w:r>
        <w:rPr>
          <w:b w:val="false"/>
          <w:lang w:val="bg-BG"/>
        </w:rPr>
        <w:t xml:space="preserve"> Убедени са, че ще забавят отрицателните явления на задълбочаващата се възрастност чрез психическа и физическа активност. Доказват на околните, че не се нуждаят от помощ. Противоположно е защитното поведение, при което постоянно се акцентира върху настъпващи отрицателни явления с възрастта, върху неудовлетвореността от живота. </w:t>
      </w:r>
    </w:p>
    <w:p>
      <w:pPr>
        <w:pStyle w:val="Heading3"/>
        <w:numPr>
          <w:ilvl w:val="0"/>
          <w:numId w:val="59"/>
        </w:numPr>
        <w:jc w:val="both"/>
        <w:rPr>
          <w:lang w:val="bg-BG"/>
        </w:rPr>
      </w:pPr>
      <w:r>
        <w:rPr>
          <w:lang w:val="bg-BG"/>
        </w:rPr>
        <w:t xml:space="preserve">Пасивни, зависими личности. </w:t>
      </w:r>
      <w:r>
        <w:rPr>
          <w:b w:val="false"/>
          <w:lang w:val="bg-BG"/>
        </w:rPr>
        <w:t xml:space="preserve">След пенсионирането те избягват да се трудят, да се напрягат, да носят отговорности. Очакват и разчитат да бъдат подпомагани. Разновидност е отчуждаването от обществото, затварянето в себе си. </w:t>
      </w:r>
    </w:p>
    <w:p>
      <w:pPr>
        <w:pStyle w:val="Heading3"/>
        <w:numPr>
          <w:ilvl w:val="0"/>
          <w:numId w:val="59"/>
        </w:numPr>
        <w:jc w:val="both"/>
        <w:rPr>
          <w:lang w:val="bg-BG"/>
        </w:rPr>
      </w:pPr>
      <w:r>
        <w:rPr>
          <w:lang w:val="bg-BG"/>
        </w:rPr>
        <w:t xml:space="preserve">Агресивно-обвинителни личности. </w:t>
      </w:r>
      <w:r>
        <w:rPr>
          <w:b w:val="false"/>
          <w:lang w:val="bg-BG"/>
        </w:rPr>
        <w:t xml:space="preserve">Имат висока самооценка и за всички трудности и неблагополучия винят други. Склонни са да подценяват тези, с които взаимодействат, да ги пренебрегват, нагрубяват. </w:t>
      </w:r>
    </w:p>
    <w:p>
      <w:pPr>
        <w:pStyle w:val="Heading3"/>
        <w:numPr>
          <w:ilvl w:val="0"/>
          <w:numId w:val="59"/>
        </w:numPr>
        <w:jc w:val="both"/>
        <w:rPr>
          <w:lang w:val="bg-BG"/>
        </w:rPr>
      </w:pPr>
      <w:r>
        <w:rPr>
          <w:lang w:val="bg-BG"/>
        </w:rPr>
        <w:t xml:space="preserve">Самостоятелни личности. </w:t>
      </w:r>
      <w:r>
        <w:rPr>
          <w:b w:val="false"/>
          <w:lang w:val="bg-BG"/>
        </w:rPr>
        <w:t xml:space="preserve">За всичко, което им се случва в живота – добро и лошо, търсят причините в себе си. Подтиснати са. Нямат вяра в силите и възможностите си. </w:t>
      </w:r>
    </w:p>
    <w:p>
      <w:pPr>
        <w:pStyle w:val="Heading3"/>
        <w:numPr>
          <w:ilvl w:val="0"/>
          <w:numId w:val="59"/>
        </w:numPr>
        <w:jc w:val="both"/>
        <w:rPr>
          <w:lang w:val="bg-BG"/>
        </w:rPr>
      </w:pPr>
      <w:r>
        <w:rPr>
          <w:lang w:val="bg-BG"/>
        </w:rPr>
        <w:t xml:space="preserve">Деструктивни личности. </w:t>
      </w:r>
      <w:r>
        <w:rPr>
          <w:b w:val="false"/>
          <w:lang w:val="bg-BG"/>
        </w:rPr>
        <w:t xml:space="preserve">Това са хора със сложни психофизически проблеми – с отслабнал интелект, с недъзи, с различни заболявания.   </w:t>
      </w:r>
    </w:p>
    <w:p>
      <w:pPr>
        <w:pStyle w:val="Heading3"/>
        <w:jc w:val="both"/>
        <w:rPr/>
      </w:pPr>
      <w:r>
        <w:rPr>
          <w:lang w:val="bg-BG"/>
        </w:rPr>
        <w:t xml:space="preserve">Адаптивността </w:t>
      </w:r>
      <w:r>
        <w:rPr>
          <w:b w:val="false"/>
          <w:lang w:val="bg-BG"/>
        </w:rPr>
        <w:t>при напредването във възрастност зависи от редица условия:</w:t>
      </w:r>
      <w:r>
        <w:rPr>
          <w:lang w:val="bg-BG"/>
        </w:rPr>
        <w:t xml:space="preserve"> </w:t>
      </w:r>
    </w:p>
    <w:p>
      <w:pPr>
        <w:pStyle w:val="Heading3"/>
        <w:numPr>
          <w:ilvl w:val="0"/>
          <w:numId w:val="15"/>
        </w:numPr>
        <w:jc w:val="both"/>
        <w:rPr>
          <w:b w:val="false"/>
          <w:b w:val="false"/>
          <w:lang w:val="bg-BG"/>
        </w:rPr>
      </w:pPr>
      <w:r>
        <w:rPr>
          <w:b w:val="false"/>
          <w:lang w:val="bg-BG"/>
        </w:rPr>
        <w:t xml:space="preserve">От формираната способност на личността своевременно да разрешава възникналите у нея противоречия (кризи или конфликти). Реалистично да оценява потребното и възможното в динамиката на възрастовите и социалните промени. Това улеснява личността при преходите в жизнения път и поражда положителни емоции. </w:t>
      </w:r>
    </w:p>
    <w:p>
      <w:pPr>
        <w:pStyle w:val="Heading3"/>
        <w:numPr>
          <w:ilvl w:val="0"/>
          <w:numId w:val="15"/>
        </w:numPr>
        <w:jc w:val="both"/>
        <w:rPr/>
      </w:pPr>
      <w:r>
        <w:rPr>
          <w:b w:val="false"/>
          <w:lang w:val="bg-BG"/>
        </w:rPr>
        <w:t xml:space="preserve">От насочеността на личността към положителното или отрицателното в живота. С възрастта негативната ориентация се засилва. Много зависи от опита, който преобладава. В началните периоди на възрастност личността възприема повече оптимистичното. По-късно в някои случаи започва да се проявява повече или по-малко – черногледство. Привикналата личност да възприема с предимство положителното, светлото в живота е по-енергична, по-жизнеспособна. Важна задача на психотерапевтичната помощ е да насочва вниманието на хората от различни възрасти към онова, което радва в живота. </w:t>
      </w:r>
    </w:p>
    <w:p>
      <w:pPr>
        <w:pStyle w:val="Heading3"/>
        <w:numPr>
          <w:ilvl w:val="0"/>
          <w:numId w:val="15"/>
        </w:numPr>
        <w:jc w:val="both"/>
        <w:rPr>
          <w:b w:val="false"/>
          <w:b w:val="false"/>
          <w:lang w:val="bg-BG"/>
        </w:rPr>
      </w:pPr>
      <w:r>
        <w:rPr>
          <w:b w:val="false"/>
          <w:lang w:val="bg-BG"/>
        </w:rPr>
        <w:t xml:space="preserve">От  готовността на личността за промяна на своите привички. По време на професионалната си реализация, увлечени в решаването на различни проблеми, не малко хора например не се занимават активно и регулярно с физкултура. Пренасочването на вниманието им към нея, подобрява дееспособността, здравето и удължава живота. Спортуващите  са с по-бързи реакции и с по-добри психомоторни възможности. Като се има предвид, че физическите и психическите състояния си взаимодействат – взаимно се подобряват или влошават, то обяснимо е, че занемаряването на физическата активност се отразява неблагоприятно на умствената. Поддържането й повишава работоспособността и продуктивността на интелекта.  Той от своя страна, при посилно функциониране, укрепва здравето. Общото им изоставане създава кръгови движения на засилващи се отрицателни явления. </w:t>
      </w:r>
    </w:p>
    <w:p>
      <w:pPr>
        <w:pStyle w:val="Heading3"/>
        <w:numPr>
          <w:ilvl w:val="0"/>
          <w:numId w:val="15"/>
        </w:numPr>
        <w:jc w:val="both"/>
        <w:rPr/>
      </w:pPr>
      <w:r>
        <w:rPr>
          <w:b w:val="false"/>
          <w:lang w:val="bg-BG"/>
        </w:rPr>
        <w:t xml:space="preserve">От възможностите на личността за емоционално себеовладяване. То я запазва физически и духовно. Особено силни са стресовете при прекратяване на професионалното осъществяване и при загубване на близък човек. Помощта тук за своевременно излизане от негативното състояние чрез осмисляне на важни перспективи за живеене и превключване към удовлетворяващи личността дейности е изключително необходима и полезна. Същото се отнася и за агресивността, която има когнитивни, емоционални и поведенчески проявления. Тя обикновено е по-изразена и по-младите и у по-възрастните при отслабване на нервната система. В границите между тях равнището й е по-ниско. Съществен фактор, наред с други, за агресивността е неуважителното отношение към личността. За недопускането и неутрализирането й  всяка личност трябва да бъде зачитана, да се цени за положителното в нея. То е опора за самоотстраняването на отрицателното. </w:t>
      </w:r>
    </w:p>
    <w:p>
      <w:pPr>
        <w:pStyle w:val="Heading3"/>
        <w:numPr>
          <w:ilvl w:val="0"/>
          <w:numId w:val="15"/>
        </w:numPr>
        <w:jc w:val="both"/>
        <w:rPr>
          <w:b w:val="false"/>
          <w:b w:val="false"/>
          <w:lang w:val="bg-BG"/>
        </w:rPr>
      </w:pPr>
      <w:r>
        <w:rPr>
          <w:b w:val="false"/>
          <w:lang w:val="bg-BG"/>
        </w:rPr>
        <w:t xml:space="preserve">От общуването на околните с личността и от осигуряване на възможности да остава и сама със себе си, със своите мисли и чувства, да се самонаблюдава, самоизменя. По тази причина оправдано е възрастните да живеят отделно, но по възможност в близост до своите деца, внуци, роднини, за да ги посещават при желание. </w:t>
      </w:r>
    </w:p>
    <w:p>
      <w:pPr>
        <w:pStyle w:val="Heading3"/>
        <w:jc w:val="both"/>
        <w:rPr>
          <w:b w:val="false"/>
          <w:b w:val="false"/>
          <w:lang w:val="bg-BG"/>
        </w:rPr>
      </w:pPr>
      <w:r>
        <w:rPr>
          <w:b w:val="false"/>
          <w:lang w:val="bg-BG"/>
        </w:rPr>
        <w:t xml:space="preserve">Материалните, духовните, здравословните обстоятелства винаги ще обуславят различни черти и типове на личността. Ето защо безпредметно е да се обосновава коя личност е по- за предпочитане.  От значение  е да се формира в нея готовност и способност съзнателно да организира, да контролира, да оценява и да коригира във всички възрасти начина на своя живот.” </w:t>
      </w:r>
    </w:p>
    <w:p>
      <w:pPr>
        <w:pStyle w:val="Heading3"/>
        <w:jc w:val="both"/>
        <w:rPr/>
      </w:pPr>
      <w:r>
        <w:rPr>
          <w:b w:val="false"/>
          <w:lang w:val="bg-BG"/>
        </w:rPr>
        <w:t xml:space="preserve">С други думи, постигането на така желателната “щастлива старост” е възможно тогава, когато възрастният човек успее да се адаптира изцяло към новите условия и изискванията на цялостния живот. За пълноценното му приспособяване към непрекъснато променящите се ситуации и обстоятелства важна роля играят различните </w:t>
      </w:r>
      <w:r>
        <w:rPr>
          <w:lang w:val="bg-BG"/>
        </w:rPr>
        <w:t xml:space="preserve">компенсаторни механизми, </w:t>
      </w:r>
      <w:r>
        <w:rPr>
          <w:b w:val="false"/>
          <w:lang w:val="bg-BG"/>
        </w:rPr>
        <w:t xml:space="preserve">благодарение на които се постига </w:t>
      </w:r>
    </w:p>
    <w:p>
      <w:pPr>
        <w:pStyle w:val="Heading3"/>
        <w:jc w:val="both"/>
        <w:rPr/>
      </w:pPr>
      <w:r>
        <w:rPr>
          <w:b w:val="false"/>
          <w:lang w:val="bg-BG"/>
        </w:rPr>
        <w:t xml:space="preserve">7. </w:t>
      </w:r>
      <w:r>
        <w:rPr>
          <w:lang w:val="bg-BG"/>
        </w:rPr>
        <w:t xml:space="preserve">психично равновесие (уравновесяване) и удовлетвореност от живота у стария човек. </w:t>
      </w:r>
      <w:r>
        <w:rPr>
          <w:b w:val="false"/>
          <w:lang w:val="bg-BG"/>
        </w:rPr>
        <w:t xml:space="preserve">Други близки по смисъл понятия са: </w:t>
      </w:r>
      <w:r>
        <w:rPr>
          <w:lang w:val="bg-BG"/>
        </w:rPr>
        <w:t xml:space="preserve">“успешно остаряване”, субективно благополучие, щастливо стареене </w:t>
      </w:r>
      <w:r>
        <w:rPr>
          <w:b w:val="false"/>
          <w:lang w:val="bg-BG"/>
        </w:rPr>
        <w:t xml:space="preserve">и др. Същностното съдържание на тези понятия има две измерения, неразделно свързани помежду си: </w:t>
      </w:r>
    </w:p>
    <w:p>
      <w:pPr>
        <w:pStyle w:val="Heading3"/>
        <w:numPr>
          <w:ilvl w:val="0"/>
          <w:numId w:val="18"/>
        </w:numPr>
        <w:jc w:val="both"/>
        <w:rPr/>
      </w:pPr>
      <w:r>
        <w:rPr>
          <w:lang w:val="bg-BG"/>
        </w:rPr>
        <w:t>първо</w:t>
      </w:r>
      <w:r>
        <w:rPr>
          <w:b w:val="false"/>
          <w:lang w:val="bg-BG"/>
        </w:rPr>
        <w:t xml:space="preserve">, преобладаващо “външно”, което се изразява във взаимоотношенията на стария човек като биосоциален индивид с обкръжаващото общество и природна среда; </w:t>
      </w:r>
    </w:p>
    <w:p>
      <w:pPr>
        <w:pStyle w:val="Heading3"/>
        <w:numPr>
          <w:ilvl w:val="0"/>
          <w:numId w:val="18"/>
        </w:numPr>
        <w:jc w:val="both"/>
        <w:rPr/>
      </w:pPr>
      <w:r>
        <w:rPr>
          <w:lang w:val="bg-BG"/>
        </w:rPr>
        <w:t>второ</w:t>
      </w:r>
      <w:r>
        <w:rPr>
          <w:b w:val="false"/>
          <w:lang w:val="bg-BG"/>
        </w:rPr>
        <w:t>, “основно вътрешно” субективно измерение, което намира израз в личностното изживяване на удовлетвореност от своя живот и от самия себе си.</w:t>
      </w:r>
    </w:p>
    <w:p>
      <w:pPr>
        <w:pStyle w:val="Heading3"/>
        <w:jc w:val="both"/>
        <w:rPr/>
      </w:pPr>
      <w:r>
        <w:rPr>
          <w:lang w:val="bg-BG"/>
        </w:rPr>
        <w:t xml:space="preserve">Уравновесяването (адаптацията, постигането на удовлетвореност </w:t>
      </w:r>
      <w:r>
        <w:rPr>
          <w:b w:val="false"/>
          <w:lang w:val="bg-BG"/>
        </w:rPr>
        <w:t xml:space="preserve">и пр.) е едновременно и процес, и състояние. Като </w:t>
      </w:r>
      <w:r>
        <w:rPr>
          <w:lang w:val="bg-BG"/>
        </w:rPr>
        <w:t>процес</w:t>
      </w:r>
      <w:r>
        <w:rPr>
          <w:b w:val="false"/>
          <w:lang w:val="bg-BG"/>
        </w:rPr>
        <w:t xml:space="preserve"> то характеризира пътищата, по които протича уравновесяването на вътрешните потребности спрямо изискванията на средата, а като </w:t>
      </w:r>
      <w:r>
        <w:rPr>
          <w:lang w:val="bg-BG"/>
        </w:rPr>
        <w:t>състояние</w:t>
      </w:r>
      <w:r>
        <w:rPr>
          <w:b w:val="false"/>
          <w:lang w:val="bg-BG"/>
        </w:rPr>
        <w:t xml:space="preserve"> – относително статичното, достигнатото в дадения момент равновесие на организма – вътре в себе си и със заобикалящия го свят.  Психичното равновесие и удовлетвореността от живота изразяват </w:t>
      </w:r>
      <w:r>
        <w:rPr>
          <w:lang w:val="bg-BG"/>
        </w:rPr>
        <w:t>хармонията</w:t>
      </w:r>
      <w:r>
        <w:rPr>
          <w:b w:val="false"/>
          <w:lang w:val="bg-BG"/>
        </w:rPr>
        <w:t xml:space="preserve"> на личността със света и със себе си (вътрешното измерение включва и психичната удовлетвореност по отношение на собственото здраве и измененията в средата на собствения организъм). Понякога се говори за “лично приспособяване” като вътрешна хармония и за “социално приспособяване” като хармония на човека с обкръжаващия свят. “Успешното остаряване” е тясно свързано с осъзнаването на собствената социална стойност, с разбирането “какво е важно в живота на човека”, на отношението му към преминалия житейски път и към самия себе си. То намира израз в няколко прояви: </w:t>
      </w:r>
    </w:p>
    <w:p>
      <w:pPr>
        <w:pStyle w:val="Heading3"/>
        <w:numPr>
          <w:ilvl w:val="0"/>
          <w:numId w:val="68"/>
        </w:numPr>
        <w:jc w:val="both"/>
        <w:rPr/>
      </w:pPr>
      <w:r>
        <w:rPr>
          <w:lang w:val="bg-BG"/>
        </w:rPr>
        <w:t>първо</w:t>
      </w:r>
      <w:r>
        <w:rPr>
          <w:b w:val="false"/>
          <w:lang w:val="bg-BG"/>
        </w:rPr>
        <w:t>, в субективното преживяване на щастие и удовлетвореност;</w:t>
      </w:r>
    </w:p>
    <w:p>
      <w:pPr>
        <w:pStyle w:val="Heading3"/>
        <w:numPr>
          <w:ilvl w:val="0"/>
          <w:numId w:val="68"/>
        </w:numPr>
        <w:jc w:val="both"/>
        <w:rPr/>
      </w:pPr>
      <w:r>
        <w:rPr>
          <w:lang w:val="bg-BG"/>
        </w:rPr>
        <w:t>второ</w:t>
      </w:r>
      <w:r>
        <w:rPr>
          <w:b w:val="false"/>
          <w:lang w:val="bg-BG"/>
        </w:rPr>
        <w:t xml:space="preserve">, в относителната липса на тревожност; </w:t>
      </w:r>
    </w:p>
    <w:p>
      <w:pPr>
        <w:pStyle w:val="Heading3"/>
        <w:numPr>
          <w:ilvl w:val="0"/>
          <w:numId w:val="68"/>
        </w:numPr>
        <w:jc w:val="both"/>
        <w:rPr/>
      </w:pPr>
      <w:r>
        <w:rPr>
          <w:lang w:val="bg-BG"/>
        </w:rPr>
        <w:t>трето</w:t>
      </w:r>
      <w:r>
        <w:rPr>
          <w:b w:val="false"/>
          <w:lang w:val="bg-BG"/>
        </w:rPr>
        <w:t>, в степента на поносимост на  психотравми и гъвкавостта, която позволява на стария човек да се приспособява към неизбежните трудности на третата възраст.</w:t>
      </w:r>
    </w:p>
    <w:p>
      <w:pPr>
        <w:pStyle w:val="Heading3"/>
        <w:jc w:val="both"/>
        <w:rPr>
          <w:b w:val="false"/>
          <w:b w:val="false"/>
          <w:lang w:val="bg-BG"/>
        </w:rPr>
      </w:pPr>
      <w:r>
        <w:rPr>
          <w:b w:val="false"/>
          <w:lang w:val="bg-BG"/>
        </w:rPr>
        <w:t xml:space="preserve">За разкриване на общите тенденции на възрастовите промени в психическото равновесие се използват различни психологически тестове за мислене и интелект, както и комплексни въпросници за личностно състояние. В това отношение широко приложение имат тестове за: </w:t>
      </w:r>
    </w:p>
    <w:p>
      <w:pPr>
        <w:pStyle w:val="Heading3"/>
        <w:numPr>
          <w:ilvl w:val="0"/>
          <w:numId w:val="58"/>
        </w:numPr>
        <w:jc w:val="both"/>
        <w:rPr>
          <w:b w:val="false"/>
          <w:b w:val="false"/>
          <w:lang w:val="bg-BG"/>
        </w:rPr>
      </w:pPr>
      <w:r>
        <w:rPr>
          <w:b w:val="false"/>
          <w:lang w:val="bg-BG"/>
        </w:rPr>
        <w:t xml:space="preserve">преживяването на лично щастие; </w:t>
      </w:r>
    </w:p>
    <w:p>
      <w:pPr>
        <w:pStyle w:val="Heading3"/>
        <w:numPr>
          <w:ilvl w:val="0"/>
          <w:numId w:val="58"/>
        </w:numPr>
        <w:jc w:val="both"/>
        <w:rPr>
          <w:b w:val="false"/>
          <w:b w:val="false"/>
          <w:lang w:val="bg-BG"/>
        </w:rPr>
      </w:pPr>
      <w:r>
        <w:rPr>
          <w:b w:val="false"/>
          <w:lang w:val="bg-BG"/>
        </w:rPr>
        <w:t xml:space="preserve">самооценка, самочувствие, увереност и отношение към себе си; </w:t>
      </w:r>
    </w:p>
    <w:p>
      <w:pPr>
        <w:pStyle w:val="Heading3"/>
        <w:numPr>
          <w:ilvl w:val="0"/>
          <w:numId w:val="58"/>
        </w:numPr>
        <w:jc w:val="both"/>
        <w:rPr>
          <w:b w:val="false"/>
          <w:b w:val="false"/>
          <w:lang w:val="bg-BG"/>
        </w:rPr>
      </w:pPr>
      <w:r>
        <w:rPr>
          <w:b w:val="false"/>
          <w:lang w:val="bg-BG"/>
        </w:rPr>
        <w:t>равнище на тревожност, (на нервност, невротичност, емоционална устойчивост)  и др.</w:t>
      </w:r>
    </w:p>
    <w:p>
      <w:pPr>
        <w:pStyle w:val="Heading3"/>
        <w:ind w:left="60" w:firstLine="567"/>
        <w:jc w:val="both"/>
        <w:rPr/>
      </w:pPr>
      <w:r>
        <w:rPr>
          <w:b w:val="false"/>
          <w:lang w:val="bg-BG"/>
        </w:rPr>
        <w:t xml:space="preserve">Важно място заемат и т.нар. “общи тестове” за личност, обхващащи различни страни на душевността и на социалните взаимодействия. Мнозина автори сочат, че психометричната оценка на удовлетвореността и на социално-личностните взаимовръзки на старите хора е само единият подход по въпроса за психичното равновесие. Не по-малко важно значение има и медицинската (психиатричната) оценка на психичното здраве. С други думи, психичното равновесие е родствено на по-общото медицинско понятие “психично здраве”. В широкия смисъл на думата под психично здраве се разбира не само отсъствието на душевно заболяване, а и най-благоприятното хармонично развитие през целия жизнен път на човека. Изследванията на психичното равновесие и удовлетвореността от живота  на лицата от третата възраст показват тяхната  взаимовръзка и  зависимост от редица променливи: общото здраве (здравословното им състояние), трудова заетост и “приемането” на пенсионирането, материалното състояние, семейната и по-общо социалната  им свързаност, отношението на другите хора към тях, и пр. </w:t>
      </w:r>
    </w:p>
    <w:p>
      <w:pPr>
        <w:pStyle w:val="Heading3"/>
        <w:jc w:val="both"/>
        <w:rPr>
          <w:b w:val="false"/>
          <w:b w:val="false"/>
          <w:lang w:val="bg-BG"/>
        </w:rPr>
      </w:pPr>
      <w:r>
        <w:rPr>
          <w:b w:val="false"/>
          <w:lang w:val="bg-BG"/>
        </w:rPr>
        <w:t xml:space="preserve">По отношение на самооценката при стареенето различните изследователи стигат до различни изводи. Според едни от тях структурата на самооценката показва значително постоянство от 9- до 89- годишна възраст. При изследванията върху преживяването на щастие също не се установяват съществени възрастови различия. При ретроспективно лично оценяване обаче изследваните лица намират известни различия между възрастовите периоди на изминатия от тях жизнен път. Старите хора най-често смятат ретроспективно за най-щастлива възрастта между 20 и 40 или между 25 и 45 години. Във връзка със самочувствието е интересно, че някои лица над 70-годишна възраст сами се определят като хора в средна възраст, докато други се назовават стари. Посредством теста с рисуване на човешки фигури се установява склонността на по-старите хора да рисуват по-малки фигури, което обикновено се тълкува като възрастово спадане на самочувствието им. </w:t>
      </w:r>
    </w:p>
    <w:p>
      <w:pPr>
        <w:pStyle w:val="Heading3"/>
        <w:jc w:val="both"/>
        <w:rPr/>
      </w:pPr>
      <w:r>
        <w:rPr>
          <w:b w:val="false"/>
          <w:lang w:val="bg-BG"/>
        </w:rPr>
        <w:t xml:space="preserve">По отношение на   </w:t>
      </w:r>
      <w:r>
        <w:rPr>
          <w:lang w:val="bg-BG"/>
        </w:rPr>
        <w:t>равнището на тревожност</w:t>
      </w:r>
      <w:r>
        <w:rPr>
          <w:b w:val="false"/>
          <w:lang w:val="bg-BG"/>
        </w:rPr>
        <w:t xml:space="preserve"> (нервност, невротичност, емоционална неустойчивост и пр.)  не съществува единно мнение. При някои изследвания се установява по-високо равнище на тревожност при старите хора, при други – известно намаляване, а при трети – дори не се открива  възрастова промяна. На проблема на тревожността при хора в напреднала и старческа възраст специално е посветена монографията на проф. Н. </w:t>
      </w:r>
      <w:r>
        <w:rPr>
          <w:lang w:val="bg-BG"/>
        </w:rPr>
        <w:t xml:space="preserve">Александрова </w:t>
      </w:r>
      <w:r>
        <w:rPr>
          <w:b w:val="false"/>
          <w:lang w:val="bg-BG"/>
        </w:rPr>
        <w:t xml:space="preserve">(4). В нея авторката прави задълбочен преглед на по-важните теории и схващания за тревожността. По-конкретно са разгледани основните концепции за тревожността и страха в социокултурен и философски аспект, тревожността в класическите теории за емоциите, проблемът за тревожността и страха в психоанализата, тревожността в теориите на научаването (ситуационизъм, тревожността и теорията на интеракционализма), биологичната теория за тревожността, тревожността и страхът в рамките на факторните теории или психология на чертите, тревожността и когнитивната теория. Върху  тази  широка основа се разкрива природата и същността на тревожността и се очертават насоките за нейното изследване, като специално внимание се отделя на тревожността и нейното изучаване в напреднала и старческа възраст (психологически предпоставки за поява на тревожността, тревожност и общуване, маски на тревожността).  Очертават се и по-важните подходи за изучаването на сродни на тревожността психични състояния (агресия, фрустрация, ригидност). Подробно се обсъжда  методическият дизайн на изследването, анализират се и резултатите от изучаването на тревожността и сродните й психически състояния при хора от напреднала и старческа възраст. Демонстрират се диагностичните възможности на приложените методически техники (самооценъчният въпросник на Х. Айзенк и личностният въпросник на Моудсли-център). </w:t>
      </w:r>
    </w:p>
    <w:p>
      <w:pPr>
        <w:pStyle w:val="Heading3"/>
        <w:jc w:val="both"/>
        <w:rPr>
          <w:b w:val="false"/>
          <w:b w:val="false"/>
          <w:lang w:val="bg-BG"/>
        </w:rPr>
      </w:pPr>
      <w:r>
        <w:rPr>
          <w:b w:val="false"/>
          <w:lang w:val="bg-BG"/>
        </w:rPr>
        <w:t xml:space="preserve">Обобщавайки резултатите от своето изследване авторката формулира следните по-важни изводи (4, с.183 и сл.): </w:t>
      </w:r>
    </w:p>
    <w:p>
      <w:pPr>
        <w:pStyle w:val="Heading3"/>
        <w:jc w:val="both"/>
        <w:rPr/>
      </w:pPr>
      <w:r>
        <w:rPr>
          <w:b w:val="false"/>
          <w:lang w:val="bg-BG"/>
        </w:rPr>
        <w:t xml:space="preserve">“… </w:t>
      </w:r>
      <w:r>
        <w:rPr>
          <w:b w:val="false"/>
          <w:lang w:val="bg-BG"/>
        </w:rPr>
        <w:t xml:space="preserve">Получените резултати от самооценъчния въпросник на Х. Айзенк показват, че не се наблюдават съществени различия по отношение на проявите на тревожност между хората от напреднала и старческа възраст. Факторната структура и самата статистика на този въпросник като цяло установяват колерационни зависимости между </w:t>
      </w:r>
      <w:r>
        <w:rPr>
          <w:lang w:val="bg-BG"/>
        </w:rPr>
        <w:t>фрустрацията</w:t>
      </w:r>
      <w:r>
        <w:rPr>
          <w:b w:val="false"/>
          <w:lang w:val="bg-BG"/>
        </w:rPr>
        <w:t xml:space="preserve">, </w:t>
      </w:r>
      <w:r>
        <w:rPr>
          <w:lang w:val="bg-BG"/>
        </w:rPr>
        <w:t>ригидността</w:t>
      </w:r>
      <w:r>
        <w:rPr>
          <w:b w:val="false"/>
          <w:lang w:val="bg-BG"/>
        </w:rPr>
        <w:t xml:space="preserve"> и слаба такава с </w:t>
      </w:r>
      <w:r>
        <w:rPr>
          <w:lang w:val="bg-BG"/>
        </w:rPr>
        <w:t>агресивността</w:t>
      </w:r>
      <w:r>
        <w:rPr>
          <w:b w:val="false"/>
          <w:lang w:val="bg-BG"/>
        </w:rPr>
        <w:t xml:space="preserve">. Така също не се констатират такива съществени различия и по отношение на фрустрацията, агресивността и ригидността между двете възрастови групи.  </w:t>
      </w:r>
    </w:p>
    <w:p>
      <w:pPr>
        <w:pStyle w:val="Heading3"/>
        <w:jc w:val="both"/>
        <w:rPr>
          <w:b w:val="false"/>
          <w:b w:val="false"/>
          <w:lang w:val="bg-BG"/>
        </w:rPr>
      </w:pPr>
      <w:r>
        <w:rPr>
          <w:b w:val="false"/>
          <w:lang w:val="bg-BG"/>
        </w:rPr>
        <w:t xml:space="preserve">Подобно заключение не може да се формулира относно състоянията на тревожност, фрустрация и агресия поотделно за мъжете и жените от двата възрастови периода на късния онтогенез. Докато по отношение на ригидността няма съществени различия между мъжете и жените… </w:t>
      </w:r>
    </w:p>
    <w:p>
      <w:pPr>
        <w:pStyle w:val="Heading3"/>
        <w:jc w:val="both"/>
        <w:rPr/>
      </w:pPr>
      <w:r>
        <w:rPr>
          <w:b w:val="false"/>
          <w:lang w:val="bg-BG"/>
        </w:rPr>
        <w:t xml:space="preserve">Според данните, получени чрез въпросника на Моудсли-център също се установява, че проявата и нивата на състоянията на тревожност са независими от принадлежността на изследваното лице към напредналата или старческата възраст. Стойностите на “ригидност” илюстрират, че те не зависят от възрастовия период на изследваните лица като цяло. </w:t>
      </w:r>
    </w:p>
    <w:p>
      <w:pPr>
        <w:pStyle w:val="Heading3"/>
        <w:jc w:val="both"/>
        <w:rPr/>
      </w:pPr>
      <w:r>
        <w:rPr>
          <w:b w:val="false"/>
          <w:lang w:val="bg-BG"/>
        </w:rPr>
        <w:t>Аналогични са и корелационните  връзки по отношение на тревожността и ригидността и половата принадлежност на хората от напреднала и старческа възраст. Установяването на екстровертивно-интровертната дименсия при лицата в напреднала и старческа възраст показва, че типът личностна насоченост не зависи от възрастовата принадлежност на изследваните лица, т.е. независимо от това дали са в напреднала или старческа възраст. Необходимо е да изтъкнем, че наличието на средни и ниски нива на тревожност в нашето изследване показва корелационна зависимост и обусловеност с установяването на интровертна личностна ориентация на изучаваните от нас две възрастови групи. Аналогични са и данните по отношение на това дали изследваните са мъже или жени от посочените по-горе възрастови групи”. В съответствие с установените закономерности се формулират редица препоръки за социално-практическа работа по преодоляване на тревожността при хората от напреднала и старческа възраст.</w:t>
      </w:r>
    </w:p>
    <w:p>
      <w:pPr>
        <w:pStyle w:val="Heading3"/>
        <w:jc w:val="both"/>
        <w:rPr/>
      </w:pPr>
      <w:r>
        <w:rPr>
          <w:b w:val="false"/>
          <w:lang w:val="bg-BG"/>
        </w:rPr>
        <w:t>Редица автори разглеждат общото здраве като първостепенно  важен фактор за психичното равновесие на старите хора. Удовлетвореността от живота в старостта е в тясна връзка с възприеманото състояние на здравето. Обикновено тя се влошава като непосредствен резултат от появата на болки, на ограничения в подвижността и начина на живот, както и от несигурността, която придружава влошеното здраве. Някои изследвания установяват твърде любопитен факт: за да намалят равнището на своята тревожност, някои стари</w:t>
      </w:r>
      <w:r>
        <w:rPr>
          <w:lang w:val="bg-BG"/>
        </w:rPr>
        <w:t xml:space="preserve"> </w:t>
      </w:r>
      <w:r>
        <w:rPr>
          <w:b w:val="false"/>
          <w:lang w:val="bg-BG"/>
        </w:rPr>
        <w:t>хора омаловажават или изобщо отричат проявите на болестта при влошаващото им се все повече здраве (използват т.нар. защитен механизъм).</w:t>
      </w:r>
    </w:p>
    <w:p>
      <w:pPr>
        <w:pStyle w:val="Heading3"/>
        <w:jc w:val="both"/>
        <w:rPr/>
      </w:pPr>
      <w:r>
        <w:rPr>
          <w:b w:val="false"/>
          <w:lang w:val="bg-BG"/>
        </w:rPr>
        <w:t>Общоприето е схващането, че трудовата дейност е също един от много важните фактори за психичното равновесие на възрастния и стария човек. В това отношение обаче изводите от проведени изследвания се отличават с твърде голяма пъстрота. Някои изследвания установяват твърде слаба корелация между трудовата заетост и удовлетвореността от живота. При лица, които са посрещнали пенсионирането с нежелание и съпротива, се наблюдава спадане на удовлетвореността след принудителното оттегляне от трудова дейност. Нещо повече. В редица случаи принудителното пенсиониране увеличава вероятността от суицидни мисли и крие рискове за възникване на психични разстройства. Много от пенсионираните лица сами се описват като по-агресивни и враждебно настроени. По данни на някои автори е налице ниска приспособимост, особено през първите 2-3 години след пенсионирането, свързана със състояния на нервност, потиснатост, апатия и пр. Установява се например, че старите хора, които имат възможност сами да определят възрастта на пенсионирането си, показват тенденция да се оттеглят възможно по-късно от трудовата дейност. Психологически изследвания върху пенсионери, които отново са привлечени на работа за определен срок, показват недвусмислено положителни промени в удовлетвореността, самоуважението и взаимоотношенията им с другите хора.</w:t>
      </w:r>
    </w:p>
    <w:p>
      <w:pPr>
        <w:pStyle w:val="Heading3"/>
        <w:jc w:val="both"/>
        <w:rPr/>
      </w:pPr>
      <w:r>
        <w:rPr>
          <w:b w:val="false"/>
          <w:lang w:val="bg-BG"/>
        </w:rPr>
        <w:t xml:space="preserve">Според други становища обаче сравнително малко хора страдат от  продължителна и сериозна дезадаптация след пенсионирането. Нещо повече. През първите две години след пенсионирането се установява дори известно спадане на заболеваемостта, последвано от по-нататъшното й постепенно увеличаване. В първите години след пенсионирането не се наблюдава увеличена смъртност. Съществуват данни, че пенсионирането оказва съществено положително влияние на субективната оценка за здраве, че делът на лицата с добро самочувствие за собствено здраве е по-висок в групата на неработещите пенсионери, отколкото сред работещите. Според редица изследвания приспособяването към пенсионирането зависи от сложно въздействащи си външни (на първо място отношението на обществото и семейството)  и вътрешни фактори (най-вече трайно изработените личностни особености). Така например зависимостта между трудовата заетост и личната удовлетвореност може да бъде налице при едни професионални групи и да не е значима при други. Върху процеса на адаптацията към пенсионирането съществено влияние оказват квалификацията и равнището на професионалните интереси на човека,  ценностната му система  и най вече изживяваната от него  значимост на собствената трудово-социална роля. Общо взето, по-квалифицираните работници отдават по-голяма вътрешна значимост на работата си и  в сравнение с по-неквалифицираните са по-малко удовлетворени, особено в първите години след пенсионирането, но след преминаването на по-дълъг период  от време могат да се окажат по-добре приспособими. Твърди се, че в повечето случаи пенсионирането се последва от компенсаторно увеличаване на времето за някои оздравителни, духовни, обществени и семейни потребности и интереси. </w:t>
      </w:r>
    </w:p>
    <w:p>
      <w:pPr>
        <w:pStyle w:val="Heading3"/>
        <w:jc w:val="both"/>
        <w:rPr/>
      </w:pPr>
      <w:r>
        <w:rPr>
          <w:b w:val="false"/>
          <w:lang w:val="bg-BG"/>
        </w:rPr>
        <w:t xml:space="preserve">Посочва се, че пенсионирането влече и сложно преустройство в семейните отношения. В традиционното семейство от стар тип, в което жената е домакиня, мъжът губи след пенсионирането си положението на “глава на семейството”, единствено отговорен за материалния доход. Според редица корелационната връзка между трудовата заетост и психичната удовлетвореност  е по-значима при жените (с изключение на подгрупата на заможните жени). Заедно с това се твърди, че жената се приспособява по-добре към новата ситуация и нейният авторитет дори нараства за сметка на авторитета на мъжа. Смята се, че за жената, която работи, прекъсването на извъндомашната трудова активност няма същото значение, както за мъжа, тъй като, първо, жената не е до такава степен ценностно обвързана с трудово-професионалната роля, второ, това прекъсване идва в относително по-млада възраст и, трето, домашната работа, която е винаги по-присъща на жените, трябва просто да се интензифицира, за да запълни получената празнина. От друга страна, пренасочването на пенсионирания мъж към домакински задачи и отглеждане на внучетата може да създаде неудовлетвореност и напрежение, произтичащи от чувството за непълноценност. Трябва обаче да се подчертае, че все още данните за междуполовите различия в отношението и приспособяването към пенсионирането са твърде оскъдни. </w:t>
      </w:r>
    </w:p>
    <w:p>
      <w:pPr>
        <w:pStyle w:val="Heading3"/>
        <w:jc w:val="both"/>
        <w:rPr>
          <w:b w:val="false"/>
          <w:b w:val="false"/>
          <w:lang w:val="bg-BG"/>
        </w:rPr>
      </w:pPr>
      <w:r>
        <w:rPr>
          <w:b w:val="false"/>
          <w:lang w:val="bg-BG"/>
        </w:rPr>
        <w:t xml:space="preserve">В редица изследвания се обръща внимание на ролята и значението на материалното положение за психичното равновесие на старите хора. Обикновено към основните детерминанти на материалния статус, които влияят съществено върху удовлетвореността и психичното равновесие на стария човек, се отнасят: </w:t>
      </w:r>
    </w:p>
    <w:p>
      <w:pPr>
        <w:pStyle w:val="Heading3"/>
        <w:numPr>
          <w:ilvl w:val="0"/>
          <w:numId w:val="91"/>
        </w:numPr>
        <w:jc w:val="both"/>
        <w:rPr>
          <w:b w:val="false"/>
          <w:b w:val="false"/>
          <w:lang w:val="bg-BG"/>
        </w:rPr>
      </w:pPr>
      <w:r>
        <w:rPr>
          <w:b w:val="false"/>
          <w:lang w:val="bg-BG"/>
        </w:rPr>
        <w:t xml:space="preserve">дали той още работи и следователно сам печели; </w:t>
      </w:r>
    </w:p>
    <w:p>
      <w:pPr>
        <w:pStyle w:val="Heading3"/>
        <w:numPr>
          <w:ilvl w:val="0"/>
          <w:numId w:val="91"/>
        </w:numPr>
        <w:jc w:val="both"/>
        <w:rPr>
          <w:b w:val="false"/>
          <w:b w:val="false"/>
          <w:lang w:val="bg-BG"/>
        </w:rPr>
      </w:pPr>
      <w:r>
        <w:rPr>
          <w:b w:val="false"/>
          <w:lang w:val="bg-BG"/>
        </w:rPr>
        <w:t xml:space="preserve">какъв е размерът на пенсията му, в случай че не работи.  </w:t>
      </w:r>
    </w:p>
    <w:p>
      <w:pPr>
        <w:pStyle w:val="Heading3"/>
        <w:jc w:val="both"/>
        <w:rPr/>
      </w:pPr>
      <w:r>
        <w:rPr>
          <w:b w:val="false"/>
          <w:lang w:val="bg-BG"/>
        </w:rPr>
        <w:t>Оттеглянето на възрастния човек от трудова дейност е съпроводено от повече или по-малко чувствително намаляване на доходите му. Затрудненията, които той тепърва ще изпитва, в зависимост от наличието на предоставените му от политиката на социалното осигуряване и социалното подпомагане материални възможности, на първо място,  от размера на пенсията му. Обикновено се посочва, че материалните затруднения на старите хора са по-големи в градска среда; в големия град пенсионерът по-често е лишен от възможността за извършване на обществено-полезен труд, а нерядко той живее и отделно от децата и внуците си. Обстановката на село е в някои отношения по-благоприятна, тъй като относително по-голям дял от старите селяни живеят заедно с децата и внуците си и могат да разчитат на тях, а и самите те разполагат с по-разнообразни и гъвкави възможности да се включат според силите си в трудова дейност. Изследванията показват, че при по-добро материално положение на старите хора се среща по-висока степен на психично равновесие. Лошото здравословно състояние повлиява удовлетвореността на материално по-добре поставените лица в по-малка степен. С други думи, критично за психичното равновесие на стария човек е съчетанието на влошеното здраве с недоброто материално положение и социалната изолация. Освен доходите определено влияние върху психичното равновесие оказват жилищните условия, наличието и достъпността на средствата за транспорт и редица други фактори.</w:t>
      </w:r>
    </w:p>
    <w:p>
      <w:pPr>
        <w:pStyle w:val="Heading3"/>
        <w:jc w:val="both"/>
        <w:rPr/>
      </w:pPr>
      <w:r>
        <w:rPr>
          <w:b w:val="false"/>
          <w:lang w:val="bg-BG"/>
        </w:rPr>
        <w:t xml:space="preserve">Наред със здравето, със социално-икономическото положение жизнено необходима за удовлетвореността от живота се оказва и семейната и социалната свързаност. Редица автори подчертават, че семейната и социалната свързаност са много важни през всички възрастови периоди, но особено в критичния период на старостта. С остаряването настъпва частично отдръпване  и частично преустройство на системата от социални и междуличностни връзки. Това може да има различна индивидуална изявеност и различна насока според структурата на личността, състоянието на здравето, житейската ситуация и пр. Според създателите на теорията за “дезангажирането” ( Elaine </w:t>
      </w:r>
      <w:r>
        <w:rPr>
          <w:lang w:val="bg-BG"/>
        </w:rPr>
        <w:t>Cumming</w:t>
      </w:r>
      <w:r>
        <w:rPr>
          <w:b w:val="false"/>
          <w:lang w:val="bg-BG"/>
        </w:rPr>
        <w:t xml:space="preserve"> и W.E. </w:t>
      </w:r>
      <w:r>
        <w:rPr>
          <w:lang w:val="bg-BG"/>
        </w:rPr>
        <w:t>Henri</w:t>
      </w:r>
      <w:r>
        <w:rPr>
          <w:b w:val="false"/>
          <w:lang w:val="bg-BG"/>
        </w:rPr>
        <w:t xml:space="preserve">) и техните последователи т.нар. дезангажиране е закономерна и желана от стария човек личностна промяна. То се дължи на намаляващата жизненост на организма и е естествен атрибут на стареенето. Тази теория обаче не се споделя от повечето автори. Мнозина от тях изтъкват, че “дезангажирането” не е доброволно настъпваща, а принудителна промяна, дължаща се главно на социални и здравни причини. Наистина промените в жизнеността, в здравното състояние, в познавателните възможности и др. налагат по-пестеливо дозиране на дейността на старите хора, дори и нейното преструктуриране, с цел да се запази равновесието на организма. Личността обаче може да си остане социално свързана и в същото време психологическата обвързаност с редица дразнители на обкръжението да бъде по-слаба. Тя може да постигне оптималното за възрастта равновесие в едни случаи чрез частично отдръпване, а в други случаи – дори чрез подходящо активиране. Всичко зависи до голяма степен от индивидуално-личностните особености на човека, от способността за интегриране на емоционалните и рационалните елементи на неговата субектност. Наблюденията свидетелстват, че повечето от хората са нещастни, когато се намират в социална изолация, макар че има отделни лица, които не се чувстват така. Обикновено последните се интровертно, егоистично насочени личности. Много рядко се наблюдава отдръпване  от семейни ангажименти.  Старите хора не се отдръпват от децата си,  дори когато са неудовлетворени от взаимните връзки. Немалък е броят на старите хора, които постоянно съжаляват за загубените социални роли и дейности. Сред тях едни по-лесно се приспособяват към новите условия, докато други преживяват по-тежко промените. </w:t>
      </w:r>
    </w:p>
    <w:p>
      <w:pPr>
        <w:pStyle w:val="Heading3"/>
        <w:jc w:val="both"/>
        <w:rPr/>
      </w:pPr>
      <w:r>
        <w:rPr>
          <w:b w:val="false"/>
          <w:lang w:val="bg-BG"/>
        </w:rPr>
        <w:t xml:space="preserve">За психичното равновесие и удовлетвореността в старостта </w:t>
      </w:r>
      <w:r>
        <w:rPr>
          <w:lang w:val="bg-BG"/>
        </w:rPr>
        <w:t>семейството</w:t>
      </w:r>
      <w:r>
        <w:rPr>
          <w:b w:val="false"/>
          <w:lang w:val="bg-BG"/>
        </w:rPr>
        <w:t xml:space="preserve"> има първостепенно значение. С възрастта постепенно настъпват редица промени, свързани с преустройството на семейните отношения между стареещите съпрузи, от една страна, а, от друга – между тях, зрелите вече техни деца, внуците им и понякога собствените им стари родители. Семейният живот и свързаните с него взаимоотношения придобиват с остаряването все по-голяма афективна значимост за личността. Значението на семейната роля, общо взето, нараства за разлика от повечето извънсемейни роли на стария човек. Това съвсем не означава, че се подценяват неформалните социални контакти извън семейството (като посещаване на приятели, съседи и пр.), участието в обществено организирани форми на събиране и пр., които влияят положително върху психичното равновесие на старите хора. </w:t>
      </w:r>
    </w:p>
    <w:p>
      <w:pPr>
        <w:pStyle w:val="Heading3"/>
        <w:jc w:val="both"/>
        <w:rPr/>
      </w:pPr>
      <w:r>
        <w:rPr>
          <w:b w:val="false"/>
          <w:lang w:val="bg-BG"/>
        </w:rPr>
        <w:t xml:space="preserve">Остаряването засилва, общо взето, свързаността между съпрузите, макар че в редица случаи може да доведе до възникване и на конфликти. Старият човек е по-уязвим, отколкото човека в млада и средна възраст, особено към смъртта на брачния си партньор, тъй като той е най-зависим от всякаква помощ във всекидневното си съществуване. Афективното значение на съпружеските връзки се усилва успоредно с нарастването на физическата немощ, частичното ограничаване на дейността и на социалните контакти. Смъртта на съпруга или на съпругата може да има многостранни последици, като се започне от икономическите затруднения и се завърши с нарастващото чувство на самотност и ненужност като резултат от по-голяма или по-малка социална изолираност. </w:t>
      </w:r>
    </w:p>
    <w:p>
      <w:pPr>
        <w:pStyle w:val="Heading3"/>
        <w:jc w:val="both"/>
        <w:rPr/>
      </w:pPr>
      <w:r>
        <w:rPr>
          <w:b w:val="false"/>
          <w:lang w:val="bg-BG"/>
        </w:rPr>
        <w:t xml:space="preserve">Психологическите и психиатричните изследвания върху овдовяването разкриват както някои общи тенденции, така и индивидуални различия. Установява се, че повечето хора над 60-годишна възраст се приспособяват по-лесно към овдовяването, когато намират опора в свързаността си с други близки и на първо място с децата.  Депресивни симптоми се наблюдават при лица, които са живеели сами, а децата им не са наблизо и не са им оказвали достатъчна емоционална и материална подкрепа. Демографските проучвания показват, че, общо взето, женените хора имат по-голяма очаквана вероятност за продължителност на живота им. Чувствата на самотност,  изолираност и тревожност  са значително по-изразени при овдовелите. При тях се наблюдават по-чести самоубийства на останалия жив партньор, отколкото при семейните стари хора. При това обикновено се приема, че жените се приспособяват сравнително по-лесно след смъртта на брачния им партньор, отколкото мъжете. </w:t>
      </w:r>
    </w:p>
    <w:p>
      <w:pPr>
        <w:pStyle w:val="Heading3"/>
        <w:jc w:val="both"/>
        <w:rPr>
          <w:b w:val="false"/>
          <w:b w:val="false"/>
          <w:lang w:val="bg-BG"/>
        </w:rPr>
      </w:pPr>
      <w:r>
        <w:rPr>
          <w:b w:val="false"/>
          <w:lang w:val="bg-BG"/>
        </w:rPr>
        <w:t xml:space="preserve">Родителската роля, отговорност и грижи са най-силни в зрялата възраст. След около 50-годишна възраст те изискват по-малко време и енергия, макар че нерядко 50-60-годишните мъже и жени едновременно трябва да полагат известни грижи и за собствените си стари родители. Но израстването и придобиването на самостоятелност на децата не означава, че родителската роля и съпричастност отпадат. С напредването на възрастта нараства и зависимостта от физическа помощ и духовна подкрепа, които старите хора, особено след овдовяване, получават главно от децата си. От друга страна, стареещият човек и особено възрастната жена-домакиня може да се почувства непълноценен вследствие на постепенната “смяна на ролите”. Малкото в миналото дете  незабелязано е станало самостоятелен материално и социално по-значим член на семейството, а родителят се е оказал в  положението на по-безпомощния и по-зависимия. В периода на остаряването обаче се появява една нова социална роля – ролята на баба и на дядо, която носи много радост и удовлетворение. Това ново задължение на старите нерядко е една възможност за преодоляване на чувството за непълноценност и на самота. Докато преустройството на семейните роли има определено психотравмено значение предимно в периода на остаряването, след 70-75-годишна възраст на преден план изпъкват по-други източници на неудовлетвореност: недостатъчната помощ, уважение и грижи от страна на децата, често пъти изоставеността  и самотността. Такива случаи по-често се наблюдават в големите градове, отколкото в селата. За психическото равновесие особено благоприятно влияние има многолюдното  патриархално семейство. </w:t>
      </w:r>
    </w:p>
    <w:p>
      <w:pPr>
        <w:pStyle w:val="Heading3"/>
        <w:jc w:val="both"/>
        <w:rPr>
          <w:b w:val="false"/>
          <w:b w:val="false"/>
          <w:lang w:val="bg-BG"/>
        </w:rPr>
      </w:pPr>
      <w:r>
        <w:rPr>
          <w:b w:val="false"/>
          <w:lang w:val="bg-BG"/>
        </w:rPr>
        <w:t xml:space="preserve">Демографски и психологически проучвания свидетелстват за твърде сложните взаимоотношения, които се наблюдават между различните поколения в съвременното общество. Отношението на обществото към своите стари членове е преди всичко голям социологически и само отчасти психологичен и медико-психологичен въпрос. Той има твърде широк диапазон от аспекти: </w:t>
      </w:r>
    </w:p>
    <w:p>
      <w:pPr>
        <w:pStyle w:val="Heading3"/>
        <w:numPr>
          <w:ilvl w:val="0"/>
          <w:numId w:val="89"/>
        </w:numPr>
        <w:jc w:val="both"/>
        <w:rPr>
          <w:b w:val="false"/>
          <w:b w:val="false"/>
          <w:lang w:val="bg-BG"/>
        </w:rPr>
      </w:pPr>
      <w:r>
        <w:rPr>
          <w:b w:val="false"/>
          <w:lang w:val="bg-BG"/>
        </w:rPr>
        <w:t>Какво очаква обществото от милионната група хора в напреднала и старческа възраст?</w:t>
      </w:r>
    </w:p>
    <w:p>
      <w:pPr>
        <w:pStyle w:val="Heading3"/>
        <w:numPr>
          <w:ilvl w:val="0"/>
          <w:numId w:val="89"/>
        </w:numPr>
        <w:jc w:val="both"/>
        <w:rPr>
          <w:b w:val="false"/>
          <w:b w:val="false"/>
          <w:lang w:val="bg-BG"/>
        </w:rPr>
      </w:pPr>
      <w:r>
        <w:rPr>
          <w:b w:val="false"/>
          <w:lang w:val="bg-BG"/>
        </w:rPr>
        <w:t xml:space="preserve">Как се оценяват техните възможности за полезна дейност в труда, науката, културата, семейството? </w:t>
      </w:r>
    </w:p>
    <w:p>
      <w:pPr>
        <w:pStyle w:val="Heading3"/>
        <w:numPr>
          <w:ilvl w:val="0"/>
          <w:numId w:val="89"/>
        </w:numPr>
        <w:jc w:val="both"/>
        <w:rPr>
          <w:b w:val="false"/>
          <w:b w:val="false"/>
          <w:lang w:val="bg-BG"/>
        </w:rPr>
      </w:pPr>
      <w:r>
        <w:rPr>
          <w:b w:val="false"/>
          <w:lang w:val="bg-BG"/>
        </w:rPr>
        <w:t xml:space="preserve">Доколко се познават техните потребности: здравни, социални, духовни и какво прави обществото за тяхното задоволяване?; и пр. </w:t>
      </w:r>
    </w:p>
    <w:p>
      <w:pPr>
        <w:pStyle w:val="Heading3"/>
        <w:jc w:val="both"/>
        <w:rPr/>
      </w:pPr>
      <w:r>
        <w:rPr>
          <w:b w:val="false"/>
          <w:lang w:val="bg-BG"/>
        </w:rPr>
        <w:t xml:space="preserve">Много изследвания свидетелстват, че младите хора нямат особено положително отношение към старостта и старите хора. Последните в очите на младите са сравнително ограничени и  социално непълноценни, с намалени възможности за професионални постижения и развитие, твърде често пасивни, негъвкави, често забравящи, неподатливи към убеждаване, понякога твърде строги, а в други случаи самомнителни и раздразнителни и пр. Сравнително по-положително отношение към старите хора имат лицата, които сами се приближават към старостта. Според някои проучвания децата като че ли имат по-положително отношение към старците, отколкото зрелите млади хора. Същевременно се посочва, че децата имат по-ограничени познания и представи за старите хора, съответстващи на ограничените им контакти с тях. Общуването със старите хора може да помогне на децата и въобще на по-младите да разберат и положителните страни на стареенето, да преодолеят ограничените си представи за остаряването въобще и за собственото си бъдещо остаряване. </w:t>
      </w:r>
    </w:p>
    <w:p>
      <w:pPr>
        <w:pStyle w:val="Heading3"/>
        <w:jc w:val="both"/>
        <w:rPr/>
      </w:pPr>
      <w:r>
        <w:rPr>
          <w:b w:val="false"/>
          <w:lang w:val="bg-BG"/>
        </w:rPr>
        <w:t xml:space="preserve">Важен принос  за разкриване на </w:t>
      </w:r>
      <w:r>
        <w:rPr>
          <w:lang w:val="bg-BG"/>
        </w:rPr>
        <w:t>личностните характеристики</w:t>
      </w:r>
      <w:r>
        <w:rPr>
          <w:b w:val="false"/>
          <w:lang w:val="bg-BG"/>
        </w:rPr>
        <w:t xml:space="preserve"> на старите хора, на специфичността на </w:t>
      </w:r>
      <w:r>
        <w:rPr>
          <w:lang w:val="bg-BG"/>
        </w:rPr>
        <w:t>сформираност на Аз-а</w:t>
      </w:r>
      <w:r>
        <w:rPr>
          <w:b w:val="false"/>
          <w:lang w:val="bg-BG"/>
        </w:rPr>
        <w:t xml:space="preserve"> им има проф. Н. </w:t>
      </w:r>
      <w:r>
        <w:rPr>
          <w:lang w:val="bg-BG"/>
        </w:rPr>
        <w:t>Александрова</w:t>
      </w:r>
      <w:r>
        <w:rPr>
          <w:b w:val="false"/>
          <w:lang w:val="bg-BG"/>
        </w:rPr>
        <w:t xml:space="preserve"> . “Субектността на стария човек – отбелязва авторката,-  се открива и за другите, и за себе си в целостността на Аз-а с устойчивата проява на личностни качества и отношение към другите и към самия себе си…Изучаването на състоянието и изменението на Аз-образа при хората от напреднала и старческа възраст има ключово значение за разбирането на цялостната психическа и личностна дейност и живот в този възрастов период (3, с. 45-50). Като подчертава, че различните самовъзприятия (Аз-възприятия) имат различна степен на важност през различните възрастови периоди, тя защитава убеждението, че в Аз-концепцията на старите хора рефлектират различни качества, страни на Аз-образа и постепенно в продължение на живота се организират в по-сложно комплексно единство като цяло. От изключителна важност за функциите на личностната субектност е личностната идентичност. Формирането и развитието на его-идентичността на човека създава чувство за устойчивост и непрекъснатост на неговото Аз. Аз-ът по своята същност е концептуален и описателен център на личностната субектност (материално Аз, социално Аз и духовно Аз). Основни аспекти на самореализацията на личността са нейното самосъзнание, Аз-образ, самовъзприятие, самооценка, локализация на контрола. Интегриращ фактор на самосъзнанието е Аз-образът, съществуващ като Аз-минало, Аз-реално, Аз-бъдещо, Аз-идеално.  </w:t>
      </w:r>
    </w:p>
    <w:p>
      <w:pPr>
        <w:pStyle w:val="Heading3"/>
        <w:jc w:val="both"/>
        <w:rPr/>
      </w:pPr>
      <w:r>
        <w:rPr>
          <w:b w:val="false"/>
          <w:lang w:val="bg-BG"/>
        </w:rPr>
        <w:t xml:space="preserve">В продължение на своя живот човек непрекъснато се изменя и развива. Развитието се изразява преди всичко в “търсенето на себе си”, т.е. определяне на своето място в света, в средата на другите и “кристализацията на Аз-а”. Неделима същност, неразчленено ядро на психиката е Аз-центърът – това е част от същностното Аз, което остава като постоянен Аз-инвариант, като самоидентичност. Аз-образът е съставен от множество Аз-ове и тяхната динамика намира израз в Аз-концепцията. С други думи, динамичният Аз координира всички компоненти в развитието на множеството Аз-ове. При това определяща роля в изменението на Аз-концепцията на старите хора имат многочислените Аз-въприятия (самовъзприятия), независимо от това, че могат да бъдат и не централни. Развитието на личността на по-ранните етапи на онтогенеза се основава преди всичко на формирането  на отделните нейни психологически системи, докато в зрялата  и особено в старческата възраст то се основава предимно на тяхното прегрупиране във връзка с обстоятелствата. </w:t>
      </w:r>
    </w:p>
    <w:p>
      <w:pPr>
        <w:pStyle w:val="Heading3"/>
        <w:jc w:val="both"/>
        <w:rPr/>
      </w:pPr>
      <w:r>
        <w:rPr>
          <w:b w:val="false"/>
          <w:lang w:val="bg-BG"/>
        </w:rPr>
        <w:t xml:space="preserve">Извършващите се промени в старостта до голяма степен се обуславят от личностната субектност. “Субектността – това е личностно психологическо образувание, което способства за ефективността на адаптация и създава условия за тази адаптация на хората от напреднала и старческа възраст към новите за тях условия на живот и към самите себе си в обективния контекст на техните инволюционни процеси…Субекността на стария човек се разглежда като системообразуващо качество от комплексен характер, което се определя от специфични характеристики – преживяване на идентичност, типичност и вариативност на Аз-образа на стария човек, ниво на неговото самовъзприемане и обособеност на интернално-екстерналния контрол…Може условно да се определи, че вътрешната позиция на стария човек е характерна и типична само за него с нейната стабилност в проявите на индивидуалното своеобразие… Това своеобразие на вътрешната позиция детерминира в определена степен и характера на субектността на старите хора – вътрешноличностно обусловена субектност и външно-личностно обусловена субектност. Преживяването на вътрешната позиция определя характера на субектността, тъй като вътрешната позиция може да отразява интерналната локализация на контрола, т.е. преживяването на отношенията и събитията, причинно обусловени от собствените действия, поведение и преживявания на старите хора като преживяване на самия себе си и на своя избор. Така също може да се говори за “изработена” вътрешна позиция на стария човек, обусловена отвън … т.е.преживяване на външен (екстернален) контрол… За субектността на стария човек особено важно за неговия живот и битие е да притежава вътрешна локализация на контрола” (3, с. 81-82). </w:t>
      </w:r>
    </w:p>
    <w:p>
      <w:pPr>
        <w:pStyle w:val="Heading3"/>
        <w:jc w:val="both"/>
        <w:rPr>
          <w:lang w:val="bg-BG"/>
        </w:rPr>
      </w:pPr>
      <w:r>
        <w:rPr>
          <w:b w:val="false"/>
          <w:lang w:val="bg-BG"/>
        </w:rPr>
        <w:t xml:space="preserve">Трябва да се посочи, че не съществува единно мнение между изследователите по въпроса, дали възрастта оказва влияние върху самочувствието и самооценката на старите хора. Едни учени намират при хората от  напреднала и старческа възраст наличие на по-позитивен Аз-образ, склонност да отделят у себе си по-малко недостатъци и като цяло по-високо самоодобрение, отколкото при младите. Според други учени с възрастта Аз-концепцията става по-негативна, самоуважението пада понякога крайно рязко, сред лицата от старческа възраст се разкрива голям процент хора, неудовлетворени от своя живот.  </w:t>
      </w:r>
    </w:p>
    <w:p>
      <w:pPr>
        <w:pStyle w:val="Heading3"/>
        <w:jc w:val="both"/>
        <w:rPr/>
      </w:pPr>
      <w:r>
        <w:rPr>
          <w:b w:val="false"/>
          <w:lang w:val="bg-BG"/>
        </w:rPr>
        <w:t xml:space="preserve">Според проф. Н. Александрова по-надеждни резултати могат да се постигнат, ако </w:t>
      </w:r>
      <w:r>
        <w:rPr>
          <w:lang w:val="bg-BG"/>
        </w:rPr>
        <w:t>личностната субективност</w:t>
      </w:r>
      <w:r>
        <w:rPr>
          <w:b w:val="false"/>
          <w:lang w:val="bg-BG"/>
        </w:rPr>
        <w:t xml:space="preserve"> на хората от напреднала и старческа възраст се </w:t>
      </w:r>
      <w:r>
        <w:rPr>
          <w:lang w:val="bg-BG"/>
        </w:rPr>
        <w:t xml:space="preserve">декомпозира </w:t>
      </w:r>
      <w:r>
        <w:rPr>
          <w:b w:val="false"/>
          <w:lang w:val="bg-BG"/>
        </w:rPr>
        <w:t xml:space="preserve">в тяхната </w:t>
      </w:r>
      <w:r>
        <w:rPr>
          <w:lang w:val="bg-BG"/>
        </w:rPr>
        <w:t>идентичност, Аз-образ, ниво на самоприемане</w:t>
      </w:r>
      <w:r>
        <w:rPr>
          <w:b w:val="false"/>
          <w:lang w:val="bg-BG"/>
        </w:rPr>
        <w:t xml:space="preserve"> и </w:t>
      </w:r>
      <w:r>
        <w:rPr>
          <w:lang w:val="bg-BG"/>
        </w:rPr>
        <w:t>тип локализация на контрола</w:t>
      </w:r>
      <w:r>
        <w:rPr>
          <w:b w:val="false"/>
          <w:lang w:val="bg-BG"/>
        </w:rPr>
        <w:t xml:space="preserve">. За изследване на идентичността тя използва модифициран за българските условия вариант на Дисоциативен въпросник (ДИСВ), чрез който се анализират следните основни характеристики: нарушение на паметта (амнезия), разстройство на идентичността (разстройство на самовъзприятието) и разстройство или изменение на съзнанието, деперсонализация, дереализация. За изследване на Аз-образа служи Личностния семантичен диференциал, разработен от Ч. </w:t>
      </w:r>
      <w:r>
        <w:rPr>
          <w:lang w:val="bg-BG"/>
        </w:rPr>
        <w:t>Осгууд</w:t>
      </w:r>
      <w:r>
        <w:rPr>
          <w:b w:val="false"/>
          <w:lang w:val="bg-BG"/>
        </w:rPr>
        <w:t xml:space="preserve"> и </w:t>
      </w:r>
      <w:r>
        <w:rPr>
          <w:lang w:val="bg-BG"/>
        </w:rPr>
        <w:t>Тененбаум</w:t>
      </w:r>
      <w:r>
        <w:rPr>
          <w:b w:val="false"/>
          <w:lang w:val="bg-BG"/>
        </w:rPr>
        <w:t xml:space="preserve">. За измерване на нивото на самовъзпримане – скалата на Е. </w:t>
      </w:r>
      <w:r>
        <w:rPr>
          <w:lang w:val="bg-BG"/>
        </w:rPr>
        <w:t>Филипс</w:t>
      </w:r>
      <w:r>
        <w:rPr>
          <w:b w:val="false"/>
          <w:lang w:val="bg-BG"/>
        </w:rPr>
        <w:t xml:space="preserve">, а на локализациаята на контрола – скалата на Дж. </w:t>
      </w:r>
      <w:r>
        <w:rPr>
          <w:lang w:val="bg-BG"/>
        </w:rPr>
        <w:t>Ротър.</w:t>
      </w:r>
      <w:r>
        <w:rPr>
          <w:b w:val="false"/>
          <w:lang w:val="bg-BG"/>
        </w:rPr>
        <w:t xml:space="preserve">  </w:t>
      </w:r>
    </w:p>
    <w:p>
      <w:pPr>
        <w:pStyle w:val="Heading3"/>
        <w:jc w:val="both"/>
        <w:rPr>
          <w:b w:val="false"/>
          <w:b w:val="false"/>
          <w:lang w:val="bg-BG"/>
        </w:rPr>
      </w:pPr>
      <w:r>
        <w:rPr>
          <w:b w:val="false"/>
          <w:lang w:val="bg-BG"/>
        </w:rPr>
        <w:t xml:space="preserve">Като обобщава резултатите от изследователската  си работа, авторката разкрива в основни линии съдържанието на обособените от нея първи и втори клъстери. </w:t>
      </w:r>
    </w:p>
    <w:p>
      <w:pPr>
        <w:pStyle w:val="Heading3"/>
        <w:jc w:val="both"/>
        <w:rPr/>
      </w:pPr>
      <w:r>
        <w:rPr>
          <w:b w:val="false"/>
          <w:lang w:val="bg-BG"/>
        </w:rPr>
        <w:t>“</w:t>
      </w:r>
      <w:r>
        <w:rPr>
          <w:b w:val="false"/>
          <w:lang w:val="bg-BG"/>
        </w:rPr>
        <w:t xml:space="preserve">Първият клъстер обединява в себе си хората от напреднала и старческа възраст, като за него е характерна определена степен на нарушение на идентичността, загуба на контрола, средна степен на проява на амнезия. Самоприемането при лицата в напреднала и старческа възраст в този клъстер има средно ниво с тенденция за повишаване през старостта. При хората от напреднала възраст е изразена външна локализация на контрола, а при старите хора се наблюдава тенденция към нарастване на вътрешната локализация на контрола. В този клъстер влизат преди всичко хора, които нямат семейства, но са имали преди това. Често това са хора, които неотдавна са загубили съпруг или близки роднини. Обикновено това са хора, които от другите изискват повишено внимание, очакват грижи, очакват от другите изпълнение на техните желания. За тях е характерно нежелание да общуват с хората, егоцентрично поведение, нежелание да носят отговорност за постъпките си. </w:t>
      </w:r>
    </w:p>
    <w:p>
      <w:pPr>
        <w:pStyle w:val="Heading3"/>
        <w:jc w:val="both"/>
        <w:rPr/>
      </w:pPr>
      <w:r>
        <w:rPr>
          <w:b w:val="false"/>
          <w:lang w:val="bg-BG"/>
        </w:rPr>
        <w:t xml:space="preserve">Вторият клъстер е по-типичен за хората от напреднала възраст и се характеризира с определена съхраненост на идентичността, контрола, ниска степен на амнезия. При тези хора се наблюдава същата тенденция по отношение на самоприемането, както в първия клъстер, а именно: самоприемането и при хората от напреднала, и старческа възраст има средно ниво с тенденция към повишаване  през старостта. Сред представителите на този клъстер се забелязва достатъчно критично отношение към себе си, някаква неудовлетвореност в общуването с другите хора. Хората в напреднала възраст  от този клъстер се характеризират със значителна активност в живота, която се проявява в желание за общуване с другите хора. Това са хора, които са готови да носят отговорност за своето поведение и отношение към другите и не желаят да се отнасят към тях снизходително. Обикновено това са хора, които отдавна живеят самостоятелно или възрастни и стари хора, живеещи с децата си като активно помагат в домакинството. За тях е характерно бодро, оптимистично отношение към живота, проява на доброта и внимание към другите, грижа за децата, близките “(3, с.147-148).  </w:t>
      </w:r>
    </w:p>
    <w:p>
      <w:pPr>
        <w:pStyle w:val="Heading3"/>
        <w:jc w:val="both"/>
        <w:rPr/>
      </w:pPr>
      <w:r>
        <w:rPr>
          <w:lang w:val="bg-BG"/>
        </w:rPr>
        <w:t xml:space="preserve">8. Психично равновесие в края на живота, пред смъртта. </w:t>
      </w:r>
      <w:r>
        <w:rPr>
          <w:b w:val="false"/>
          <w:lang w:val="bg-BG"/>
        </w:rPr>
        <w:t xml:space="preserve"> Психологичните промени на последния етап от живота, непосредствено предхождащ смъртта, са малко проучени в науката (36, с.71 и сл.). В това отношение особен интерес представлява въпросът за отношението на старите хора към смъртта. Посочва се, че реакциите към осъзнатия предстоящ край могат да бъдат твърде различни: </w:t>
      </w:r>
      <w:r>
        <w:rPr>
          <w:lang w:val="bg-BG"/>
        </w:rPr>
        <w:t>приемане на смъртта</w:t>
      </w:r>
      <w:r>
        <w:rPr>
          <w:b w:val="false"/>
          <w:lang w:val="bg-BG"/>
        </w:rPr>
        <w:t xml:space="preserve"> (реалистично или религиозно-илюзорно според светоусещането на човека), </w:t>
      </w:r>
      <w:r>
        <w:rPr>
          <w:lang w:val="bg-BG"/>
        </w:rPr>
        <w:t>отричане на реалността</w:t>
      </w:r>
      <w:r>
        <w:rPr>
          <w:b w:val="false"/>
          <w:lang w:val="bg-BG"/>
        </w:rPr>
        <w:t xml:space="preserve">, </w:t>
      </w:r>
      <w:r>
        <w:rPr>
          <w:lang w:val="bg-BG"/>
        </w:rPr>
        <w:t>склонност към отлагане</w:t>
      </w:r>
      <w:r>
        <w:rPr>
          <w:b w:val="false"/>
          <w:lang w:val="bg-BG"/>
        </w:rPr>
        <w:t xml:space="preserve">, </w:t>
      </w:r>
      <w:r>
        <w:rPr>
          <w:lang w:val="bg-BG"/>
        </w:rPr>
        <w:t>примиряване, пасивно подчиняване</w:t>
      </w:r>
      <w:r>
        <w:rPr>
          <w:b w:val="false"/>
          <w:lang w:val="bg-BG"/>
        </w:rPr>
        <w:t xml:space="preserve">, </w:t>
      </w:r>
      <w:r>
        <w:rPr>
          <w:lang w:val="bg-BG"/>
        </w:rPr>
        <w:t>страх</w:t>
      </w:r>
      <w:r>
        <w:rPr>
          <w:b w:val="false"/>
          <w:lang w:val="bg-BG"/>
        </w:rPr>
        <w:t xml:space="preserve">, </w:t>
      </w:r>
      <w:r>
        <w:rPr>
          <w:lang w:val="bg-BG"/>
        </w:rPr>
        <w:t>депресивно нежелание за живот</w:t>
      </w:r>
      <w:r>
        <w:rPr>
          <w:b w:val="false"/>
          <w:lang w:val="bg-BG"/>
        </w:rPr>
        <w:t xml:space="preserve"> и др. При това типовете реакции се определят не толкова от възрастта, а от облика на личността, от соматичното и психичното й здравно състояние.</w:t>
      </w:r>
    </w:p>
    <w:p>
      <w:pPr>
        <w:pStyle w:val="Heading3"/>
        <w:jc w:val="both"/>
        <w:rPr/>
      </w:pPr>
      <w:r>
        <w:rPr>
          <w:b w:val="false"/>
          <w:lang w:val="bg-BG"/>
        </w:rPr>
        <w:t xml:space="preserve">Независимо от значителните индивидуални различия, остаряването се характеризира с някои общи тенденции в отношението към живота и смъртта. В много случаи с напредването на възрастта човек постепенно свиква с мисълта за смъртта; от игнориране на тази тема той преминава към избягването й и на края – към повече или по-малко реалистично близко отношение към смъртта.  Този процес може да протече по-плавно или по-рязко. При това се установява, че положително отношение към смъртта се среща по-често сред лицата с влошено здраве, настанените в домове за стари хора, а сравнително по-рядко сред старите хора, които имат живи съпруги (съпрузи) или живеят в домашни условия заедно с децата и внуците си.  </w:t>
      </w:r>
    </w:p>
    <w:p>
      <w:pPr>
        <w:pStyle w:val="Heading3"/>
        <w:jc w:val="both"/>
        <w:rPr/>
      </w:pPr>
      <w:r>
        <w:rPr>
          <w:b w:val="false"/>
          <w:lang w:val="bg-BG"/>
        </w:rPr>
        <w:t>В хода на стареенето постепенно нараства склонността за преглед, оценка и преоценка на изминатия жизнен път. Констатира се насочване на спомените към миналото и особено към ранната биография с изумителна яснота на припомнянето. Наистина  преоценка на жизнения път може да се направи и по-рано – например непосредствено след пенсионирането или след задомяването на последното дете, но в завършена форма този процес се разгръща при осъзната поява на “предвестниците” на приближаващия се край. Тази преоценка обикновено има за цел да съгласува установените ценностни норми с реално извършеното през живота. Тя е своеобразен опит за последно уравновесяване на личността с обкръжението. В редица случаи на преден план се откроява загрижеността на умиращия човек да “уреди” отношенията си с близките, да укрепи психологическата връзка и приемственост със следващите поколения, като им завещае не само и не толкова материални неща, а и своите жизнени идеали и ценности. Разбира се, не са малко случаите и на появата на депресивни реакции при осъзнаването на идващата смърт. Краят на живота може да бъде припокрит както от соматогенни, така и от психогенни болестни състояния. Болестните отклонения в психичното развитие на лицата от третата възраст тук не се разглеждат специално, тъй като са предмет на други дисциплини, включени в учебния план на специалността “социална педагогика”.</w:t>
      </w:r>
    </w:p>
    <w:p>
      <w:pPr>
        <w:pStyle w:val="Heading1"/>
        <w:rPr/>
      </w:pPr>
      <w:bookmarkStart w:id="27" w:name="__RefHeading___Toc89859688"/>
      <w:r>
        <w:rPr/>
        <w:t>СЕДМА</w:t>
      </w:r>
      <w:r>
        <w:rPr>
          <w:lang w:val="en-US"/>
        </w:rPr>
        <w:t xml:space="preserve"> </w:t>
      </w:r>
      <w:r>
        <w:rPr/>
        <w:t xml:space="preserve">ТЕМА </w:t>
      </w:r>
      <w:r>
        <w:rPr>
          <w:lang w:val="en-US"/>
        </w:rPr>
        <w:br/>
      </w:r>
      <w:r>
        <w:rPr/>
        <w:t>ЦЕННОСТНИ СИСТЕМИ В  ТРЕТАТА ВЪЗРАСТ</w:t>
      </w:r>
      <w:bookmarkEnd w:id="27"/>
      <w:r>
        <w:rPr/>
        <w:t xml:space="preserve"> </w:t>
      </w:r>
    </w:p>
    <w:p>
      <w:pPr>
        <w:pStyle w:val="Heading2"/>
        <w:rPr/>
      </w:pPr>
      <w:bookmarkStart w:id="28" w:name="__RefHeading___Toc89859689"/>
      <w:bookmarkEnd w:id="28"/>
      <w:r>
        <w:rPr/>
        <w:t>7.1.  Жизнени цели и целеполагане в третата възраст</w:t>
      </w:r>
    </w:p>
    <w:p>
      <w:pPr>
        <w:pStyle w:val="Heading3"/>
        <w:jc w:val="both"/>
        <w:rPr/>
      </w:pPr>
      <w:r>
        <w:rPr>
          <w:b w:val="false"/>
          <w:lang w:val="bg-BG"/>
        </w:rPr>
        <w:t xml:space="preserve">Навлизането в “третата възраст” от позициите на отделния индивид  по същество означава неговата своевременна и социално значима идентификация с образа на възрастния човек. Чрез идентификационния процес се осъществява неговото приобщаване към социокултурното равнище, към ценностно-ориентационната система на новите условия на взаимодействие със социалната среда. Развитието на индивида, подчертава Б.Ф. </w:t>
      </w:r>
      <w:r>
        <w:rPr>
          <w:lang w:val="bg-BG"/>
        </w:rPr>
        <w:t>Ломов</w:t>
      </w:r>
      <w:r>
        <w:rPr>
          <w:b w:val="false"/>
          <w:lang w:val="bg-BG"/>
        </w:rPr>
        <w:t xml:space="preserve"> (29, с. 91), е единен процес, но заедно с това е процес многокачествен в своите прояви. Взаимното опосредстване на биологичното и социалното в него се осъществява в най-разгърната и пълна форма чрез системата на психичните свойства на човека. </w:t>
      </w:r>
      <w:r>
        <w:rPr>
          <w:i/>
          <w:lang w:val="bg-BG"/>
        </w:rPr>
        <w:t>Времевият хоризонт</w:t>
      </w:r>
      <w:r>
        <w:rPr>
          <w:b w:val="false"/>
          <w:lang w:val="bg-BG"/>
        </w:rPr>
        <w:t xml:space="preserve">    организира различните аспекти на развитието и служи като индикатор за преобладаващата  насоченост към настоящето, миналото или бъдещето. От тези позиции третата възраст е тясно свързана с предшестващите фази на живота и може да се разглежда като един етап от цялостния индивидуален жизнен цикъл.  Изследването на напредналата и старческата възраст като качествено ново състояние на човека не изключва, а напротив –  органически включва неговите предишни състояния    в една цялостна система от взаимовръзки. Това дава възможност не само да се разкрият различните детерминации на геронтогенеза,  а и  да се обединят двете нива на изследване на социалните аспекти на стареенето: индивидуално-личностният (жизненият път на отделния човек в онтогенеза) и социално-груповият (животът на поколението).</w:t>
      </w:r>
    </w:p>
    <w:p>
      <w:pPr>
        <w:pStyle w:val="Heading3"/>
        <w:jc w:val="both"/>
        <w:rPr>
          <w:b w:val="false"/>
          <w:b w:val="false"/>
          <w:lang w:val="bg-BG"/>
        </w:rPr>
      </w:pPr>
      <w:r>
        <w:rPr>
          <w:b w:val="false"/>
          <w:lang w:val="bg-BG"/>
        </w:rPr>
        <w:t xml:space="preserve">Всяка възраст представлява своеобразна “епоха” в развитието на човека, на неговата личност, доколкото съдържа в себе си и резултата, и целта, и перспективата в развитието. “Продължаването на човешкия живот, запазването на творческите му потенциали и смисъла на съществуването на по-късните възрастови етапи на индивидуално-личностно и социално равнище се конкретизира като проблем на жизнените цели, перспективността им, за жизнения смисъл “изобщо”. Именно едно или друго разбиране за смисъла на живота оформя спецификата на индивидуалния начин на живот, който от своя страна детерминира различни индивидуални и обществени картини на протичане на последните фази от живота” (57,с. 36). </w:t>
      </w:r>
    </w:p>
    <w:p>
      <w:pPr>
        <w:pStyle w:val="Heading3"/>
        <w:jc w:val="both"/>
        <w:rPr>
          <w:b w:val="false"/>
          <w:b w:val="false"/>
          <w:lang w:val="bg-BG"/>
        </w:rPr>
      </w:pPr>
      <w:r>
        <w:rPr>
          <w:b w:val="false"/>
          <w:lang w:val="bg-BG"/>
        </w:rPr>
        <w:t xml:space="preserve">Според някои автори приемането на обективния символичен образ на третата възраст има своите сложни и противоречиви фази. За първата е характерен подчертано емоционалният тон, който носи белезите на известно смущение от възрастта. Макар че от позициите на здравия разум този възрастов период е неизбежен за всеки, който е щастлив да го достигне, тоталната ограниченост на психофизиката не се приема и понася без повишена емоционалност. Второто равнище е поведенческото, което върху основата на реадаптацията организира възрастния към най-адекватната за неговата възраст, образование и предишна професия, социалнозначима дейност в областта на труда, семейството, обществено-политическия и културния живот. Третото и най-високото равнище е осъзнаването на “ние” върху основата на общите цели, задачи и значение на третата възраст като отделна социално-демографска и социалнопсихична компонента в обществото (пак там, с. 22-23).  </w:t>
      </w:r>
    </w:p>
    <w:p>
      <w:pPr>
        <w:pStyle w:val="Heading3"/>
        <w:jc w:val="both"/>
        <w:rPr/>
      </w:pPr>
      <w:r>
        <w:rPr>
          <w:b w:val="false"/>
          <w:lang w:val="bg-BG"/>
        </w:rPr>
        <w:t xml:space="preserve">Процесът на </w:t>
      </w:r>
      <w:r>
        <w:rPr>
          <w:i/>
          <w:lang w:val="bg-BG"/>
        </w:rPr>
        <w:t>социална адаптация</w:t>
      </w:r>
      <w:r>
        <w:rPr>
          <w:b w:val="false"/>
          <w:lang w:val="bg-BG"/>
        </w:rPr>
        <w:t xml:space="preserve"> в третата възраст в значителна степен зависи от </w:t>
      </w:r>
      <w:r>
        <w:rPr>
          <w:lang w:val="bg-BG"/>
        </w:rPr>
        <w:t>ценностната система</w:t>
      </w:r>
      <w:r>
        <w:rPr>
          <w:b w:val="false"/>
          <w:lang w:val="bg-BG"/>
        </w:rPr>
        <w:t xml:space="preserve"> на отделния човек, от способността му да приема нови, специфични за тази възраст ценности. Онтогенетичното развитие се характеризира с постоянни преструктурирания на </w:t>
      </w:r>
      <w:r>
        <w:rPr>
          <w:i/>
          <w:lang w:val="bg-BG"/>
        </w:rPr>
        <w:t>системата от ценности</w:t>
      </w:r>
      <w:r>
        <w:rPr>
          <w:b w:val="false"/>
          <w:lang w:val="bg-BG"/>
        </w:rPr>
        <w:t xml:space="preserve"> в съответствие с промените от общосоциален и индивидуален (личностен) характер.</w:t>
      </w:r>
    </w:p>
    <w:p>
      <w:pPr>
        <w:pStyle w:val="Heading3"/>
        <w:jc w:val="both"/>
        <w:rPr/>
      </w:pPr>
      <w:r>
        <w:rPr>
          <w:b w:val="false"/>
          <w:lang w:val="bg-BG"/>
        </w:rPr>
        <w:t xml:space="preserve">Най-важните измерения на  </w:t>
      </w:r>
      <w:r>
        <w:rPr>
          <w:lang w:val="bg-BG"/>
        </w:rPr>
        <w:t xml:space="preserve">личността, </w:t>
      </w:r>
      <w:r>
        <w:rPr>
          <w:b w:val="false"/>
          <w:lang w:val="bg-BG"/>
        </w:rPr>
        <w:t xml:space="preserve">са: </w:t>
      </w:r>
    </w:p>
    <w:p>
      <w:pPr>
        <w:pStyle w:val="Heading3"/>
        <w:numPr>
          <w:ilvl w:val="0"/>
          <w:numId w:val="76"/>
        </w:numPr>
        <w:jc w:val="both"/>
        <w:rPr>
          <w:b w:val="false"/>
          <w:b w:val="false"/>
          <w:lang w:val="bg-BG"/>
        </w:rPr>
      </w:pPr>
      <w:r>
        <w:rPr>
          <w:b w:val="false"/>
          <w:lang w:val="bg-BG"/>
        </w:rPr>
        <w:t>целите на личността и целеполагането;</w:t>
      </w:r>
    </w:p>
    <w:p>
      <w:pPr>
        <w:pStyle w:val="Heading3"/>
        <w:numPr>
          <w:ilvl w:val="0"/>
          <w:numId w:val="76"/>
        </w:numPr>
        <w:jc w:val="both"/>
        <w:rPr>
          <w:b w:val="false"/>
          <w:b w:val="false"/>
          <w:lang w:val="bg-BG"/>
        </w:rPr>
      </w:pPr>
      <w:r>
        <w:rPr>
          <w:b w:val="false"/>
          <w:lang w:val="bg-BG"/>
        </w:rPr>
        <w:t xml:space="preserve">отношенията й към обществото като цяло; </w:t>
      </w:r>
    </w:p>
    <w:p>
      <w:pPr>
        <w:pStyle w:val="Heading3"/>
        <w:numPr>
          <w:ilvl w:val="0"/>
          <w:numId w:val="76"/>
        </w:numPr>
        <w:jc w:val="both"/>
        <w:rPr>
          <w:b w:val="false"/>
          <w:b w:val="false"/>
          <w:lang w:val="bg-BG"/>
        </w:rPr>
      </w:pPr>
      <w:r>
        <w:rPr>
          <w:b w:val="false"/>
          <w:lang w:val="bg-BG"/>
        </w:rPr>
        <w:t xml:space="preserve">отношенията й към труда и към обществено-политическия живот; </w:t>
      </w:r>
    </w:p>
    <w:p>
      <w:pPr>
        <w:pStyle w:val="Heading3"/>
        <w:numPr>
          <w:ilvl w:val="0"/>
          <w:numId w:val="76"/>
        </w:numPr>
        <w:jc w:val="both"/>
        <w:rPr>
          <w:b w:val="false"/>
          <w:b w:val="false"/>
          <w:lang w:val="bg-BG"/>
        </w:rPr>
      </w:pPr>
      <w:r>
        <w:rPr>
          <w:b w:val="false"/>
          <w:lang w:val="bg-BG"/>
        </w:rPr>
        <w:t>отношенията й към общностите, към които принадлежи, както и към другите;</w:t>
      </w:r>
    </w:p>
    <w:p>
      <w:pPr>
        <w:pStyle w:val="Heading3"/>
        <w:numPr>
          <w:ilvl w:val="0"/>
          <w:numId w:val="76"/>
        </w:numPr>
        <w:jc w:val="both"/>
        <w:rPr>
          <w:b w:val="false"/>
          <w:b w:val="false"/>
          <w:lang w:val="bg-BG"/>
        </w:rPr>
      </w:pPr>
      <w:r>
        <w:rPr>
          <w:b w:val="false"/>
          <w:lang w:val="bg-BG"/>
        </w:rPr>
        <w:t xml:space="preserve">отношението й към себе си; </w:t>
      </w:r>
    </w:p>
    <w:p>
      <w:pPr>
        <w:pStyle w:val="Heading3"/>
        <w:numPr>
          <w:ilvl w:val="0"/>
          <w:numId w:val="76"/>
        </w:numPr>
        <w:jc w:val="both"/>
        <w:rPr>
          <w:b w:val="false"/>
          <w:b w:val="false"/>
          <w:lang w:val="bg-BG"/>
        </w:rPr>
      </w:pPr>
      <w:r>
        <w:rPr>
          <w:b w:val="false"/>
          <w:lang w:val="bg-BG"/>
        </w:rPr>
        <w:t xml:space="preserve">нейните потребности и интереси; </w:t>
      </w:r>
    </w:p>
    <w:p>
      <w:pPr>
        <w:pStyle w:val="Heading3"/>
        <w:numPr>
          <w:ilvl w:val="0"/>
          <w:numId w:val="76"/>
        </w:numPr>
        <w:jc w:val="both"/>
        <w:rPr>
          <w:b w:val="false"/>
          <w:b w:val="false"/>
          <w:lang w:val="bg-BG"/>
        </w:rPr>
      </w:pPr>
      <w:r>
        <w:rPr>
          <w:b w:val="false"/>
          <w:lang w:val="bg-BG"/>
        </w:rPr>
        <w:t xml:space="preserve">самочувствието, емоционалната й нагласа и др. </w:t>
      </w:r>
    </w:p>
    <w:p>
      <w:pPr>
        <w:pStyle w:val="Heading3"/>
        <w:jc w:val="both"/>
        <w:rPr>
          <w:b w:val="false"/>
          <w:b w:val="false"/>
          <w:i/>
          <w:i/>
          <w:lang w:val="bg-BG"/>
        </w:rPr>
      </w:pPr>
      <w:r>
        <w:rPr>
          <w:b w:val="false"/>
          <w:lang w:val="bg-BG"/>
        </w:rPr>
        <w:t xml:space="preserve">Много важни характеристики на личностно-психологическото развитие на хората от напреднала и старческа възраст са обект на специално изследване в редица  трудове на български учени:  “Третата възраст”(57), “От върха на годините”(24), “Старите хора” (3), “Тревожност при хора в напреднала и старческа възраст” (4) и др. </w:t>
      </w:r>
    </w:p>
    <w:p>
      <w:pPr>
        <w:pStyle w:val="Heading3"/>
        <w:jc w:val="both"/>
        <w:rPr/>
      </w:pPr>
      <w:r>
        <w:rPr>
          <w:b w:val="false"/>
          <w:lang w:val="bg-BG"/>
        </w:rPr>
        <w:t xml:space="preserve">Х. </w:t>
      </w:r>
      <w:r>
        <w:rPr>
          <w:lang w:val="bg-BG"/>
        </w:rPr>
        <w:t>Силгиджиян</w:t>
      </w:r>
      <w:r>
        <w:rPr>
          <w:b w:val="false"/>
          <w:lang w:val="bg-BG"/>
        </w:rPr>
        <w:t xml:space="preserve"> изтъква, че …</w:t>
      </w:r>
      <w:r>
        <w:rPr>
          <w:i/>
          <w:lang w:val="bg-BG"/>
        </w:rPr>
        <w:t>целите</w:t>
      </w:r>
      <w:r>
        <w:rPr>
          <w:lang w:val="bg-BG"/>
        </w:rPr>
        <w:t xml:space="preserve"> </w:t>
      </w:r>
      <w:r>
        <w:rPr>
          <w:b w:val="false"/>
          <w:lang w:val="bg-BG"/>
        </w:rPr>
        <w:t xml:space="preserve">на личността и </w:t>
      </w:r>
      <w:r>
        <w:rPr>
          <w:i/>
          <w:lang w:val="bg-BG"/>
        </w:rPr>
        <w:t xml:space="preserve">целеобразуването </w:t>
      </w:r>
      <w:r>
        <w:rPr>
          <w:lang w:val="bg-BG"/>
        </w:rPr>
        <w:t xml:space="preserve"> </w:t>
      </w:r>
      <w:r>
        <w:rPr>
          <w:b w:val="false"/>
          <w:lang w:val="bg-BG"/>
        </w:rPr>
        <w:t xml:space="preserve">обуславят основния принцип на действие на системата личност, като осъществяват на всеки възрастов етап единството на вътрешните и външните детерминации на развитието…Ненапразно в геронтологията жизнените цели се приемат като индикатор за степента на приспособяване на личността…Във възрастов план хетерохронността между развитието на личността и субекта на дейността намалява и във времето нараства тяхната взаимозависимост. Тази особеност обяснява защо в старческа възраст нарушаването на социалните връзки и социалните дейности винаги рефлектира върху личността и жизнените й цели, както и обратните случаи, когато обезценяването на жизнените цели винаги е свързано с намаляването на социалната активност на личността… Анализът на времевия хоризонт на старите хора и неговата динамика ни показва не само начина на съотнасяне на различните линии на развитието и преобладаващата времева насоченост,  но очертава и различни рамки на един или друг начин на живот: перспективен, еволютивен или безперспективен, инволютивен” (57, с. 41-44). Чрез проведеното през 80-те години на ХХ век  от авторката изследване на </w:t>
      </w:r>
      <w:r>
        <w:rPr>
          <w:lang w:val="bg-BG"/>
        </w:rPr>
        <w:t>динамиката на жизнените цели и жизнения</w:t>
      </w:r>
      <w:r>
        <w:rPr>
          <w:b w:val="false"/>
          <w:lang w:val="bg-BG"/>
        </w:rPr>
        <w:t xml:space="preserve"> </w:t>
      </w:r>
      <w:r>
        <w:rPr>
          <w:lang w:val="bg-BG"/>
        </w:rPr>
        <w:t>смисъл</w:t>
      </w:r>
      <w:r>
        <w:rPr>
          <w:b w:val="false"/>
          <w:lang w:val="bg-BG"/>
        </w:rPr>
        <w:t xml:space="preserve">, както и на тяхното влияние върху различните сфери на активност (трудова и обществена дейност, битово самообслужване, емоционален статус, самочувствие, тревожност)  се установяват различни типове стареене в зависимост от запазването или не на личността като субект на дейността. По-важните изводи, които се правят, могат да се обобщят по следния начин (пак там, с. 46-70): </w:t>
      </w:r>
    </w:p>
    <w:p>
      <w:pPr>
        <w:pStyle w:val="Heading3"/>
        <w:numPr>
          <w:ilvl w:val="0"/>
          <w:numId w:val="55"/>
        </w:numPr>
        <w:jc w:val="both"/>
        <w:rPr/>
      </w:pPr>
      <w:r>
        <w:rPr>
          <w:b w:val="false"/>
          <w:lang w:val="bg-BG"/>
        </w:rPr>
        <w:t xml:space="preserve">Получените резултати, характеризиращи времевия хоризонт на изследваната съвкупност, като цяло коригират житейската представа за преобладаващата ориентация на старите хора към миналото. Данните свидетелстват, че  </w:t>
      </w:r>
      <w:r>
        <w:rPr>
          <w:lang w:val="bg-BG"/>
        </w:rPr>
        <w:t>в напреднала възраст доминира насочеността към бъдещето</w:t>
      </w:r>
      <w:r>
        <w:rPr>
          <w:b w:val="false"/>
          <w:lang w:val="bg-BG"/>
        </w:rPr>
        <w:t xml:space="preserve">, </w:t>
      </w:r>
      <w:r>
        <w:rPr>
          <w:lang w:val="bg-BG"/>
        </w:rPr>
        <w:t>следвана от насочеността към настоящето и на последно място е насочеността към</w:t>
      </w:r>
      <w:r>
        <w:rPr>
          <w:b w:val="false"/>
          <w:lang w:val="bg-BG"/>
        </w:rPr>
        <w:t xml:space="preserve"> </w:t>
      </w:r>
      <w:r>
        <w:rPr>
          <w:lang w:val="bg-BG"/>
        </w:rPr>
        <w:t>миналото.</w:t>
      </w:r>
      <w:r>
        <w:rPr>
          <w:b w:val="false"/>
          <w:lang w:val="bg-BG"/>
        </w:rPr>
        <w:t xml:space="preserve"> Това съотношение се променя в </w:t>
      </w:r>
      <w:r>
        <w:rPr>
          <w:lang w:val="bg-BG"/>
        </w:rPr>
        <w:t>старческа възраст</w:t>
      </w:r>
      <w:r>
        <w:rPr>
          <w:b w:val="false"/>
          <w:lang w:val="bg-BG"/>
        </w:rPr>
        <w:t xml:space="preserve">, за която е характерно </w:t>
      </w:r>
      <w:r>
        <w:rPr>
          <w:lang w:val="bg-BG"/>
        </w:rPr>
        <w:t>значително нарастване на ориентацията към миналото</w:t>
      </w:r>
      <w:r>
        <w:rPr>
          <w:b w:val="false"/>
          <w:lang w:val="bg-BG"/>
        </w:rPr>
        <w:t xml:space="preserve"> и </w:t>
      </w:r>
      <w:r>
        <w:rPr>
          <w:lang w:val="bg-BG"/>
        </w:rPr>
        <w:t>снижаване на ориентацията към бъдещето и настоящето</w:t>
      </w:r>
      <w:r>
        <w:rPr>
          <w:b w:val="false"/>
          <w:lang w:val="bg-BG"/>
        </w:rPr>
        <w:t xml:space="preserve">. С други думи, налице е изключително силна зависимост между възрастта и ориентацията във времето. При това ориентацията към бъдещето в по-голяма степен е свойствена на семейните. Съществува силна зависимост между времевия хоризонт и социалното положение, като най-висока ориентация към бъдещето се констатира при служещите и работниците. Такава зависимост се установява и между времевия хоризонт и образованието – при прехода от начално към висше образование е налице тенденция за намаляване на ориентацията към миналото. Посочва се, че възрастта, в която става коренен прелом в стрелата на времето, е след 70 години. </w:t>
      </w:r>
    </w:p>
    <w:p>
      <w:pPr>
        <w:pStyle w:val="Heading3"/>
        <w:numPr>
          <w:ilvl w:val="0"/>
          <w:numId w:val="55"/>
        </w:numPr>
        <w:jc w:val="both"/>
        <w:rPr/>
      </w:pPr>
      <w:r>
        <w:rPr>
          <w:b w:val="false"/>
          <w:lang w:val="bg-BG"/>
        </w:rPr>
        <w:t xml:space="preserve">Налице е </w:t>
      </w:r>
      <w:r>
        <w:rPr>
          <w:lang w:val="bg-BG"/>
        </w:rPr>
        <w:t>голяма зависимост между времевата ориентация на личността и начините на оценка и преживяване на нещата от живота, които придават различен смисъл на съществуването в напреднала и старческа възраст</w:t>
      </w:r>
      <w:r>
        <w:rPr>
          <w:b w:val="false"/>
          <w:lang w:val="bg-BG"/>
        </w:rPr>
        <w:t xml:space="preserve"> (“да бъда полезен на децата и близките”; “продължаване на трудовата и обществената “; “запазване на здраве и дълголетие”; “заслужена почивка след дългогодишен труд”).  </w:t>
      </w:r>
    </w:p>
    <w:p>
      <w:pPr>
        <w:pStyle w:val="Heading3"/>
        <w:numPr>
          <w:ilvl w:val="0"/>
          <w:numId w:val="55"/>
        </w:numPr>
        <w:jc w:val="both"/>
        <w:rPr/>
      </w:pPr>
      <w:r>
        <w:rPr>
          <w:b w:val="false"/>
          <w:lang w:val="bg-BG"/>
        </w:rPr>
        <w:t xml:space="preserve">При сравнението на ценностните системи се наблюдава </w:t>
      </w:r>
      <w:r>
        <w:rPr>
          <w:lang w:val="bg-BG"/>
        </w:rPr>
        <w:t>голямо различие в</w:t>
      </w:r>
      <w:r>
        <w:rPr>
          <w:b w:val="false"/>
          <w:lang w:val="bg-BG"/>
        </w:rPr>
        <w:t xml:space="preserve"> </w:t>
      </w:r>
      <w:r>
        <w:rPr>
          <w:lang w:val="bg-BG"/>
        </w:rPr>
        <w:t>начините на съподчиняване и ранжиране на ценностите</w:t>
      </w:r>
      <w:r>
        <w:rPr>
          <w:b w:val="false"/>
          <w:lang w:val="bg-BG"/>
        </w:rPr>
        <w:t xml:space="preserve"> </w:t>
      </w:r>
      <w:r>
        <w:rPr>
          <w:lang w:val="bg-BG"/>
        </w:rPr>
        <w:t>в зависимост от</w:t>
      </w:r>
      <w:r>
        <w:rPr>
          <w:b w:val="false"/>
          <w:lang w:val="bg-BG"/>
        </w:rPr>
        <w:t xml:space="preserve"> </w:t>
      </w:r>
      <w:r>
        <w:rPr>
          <w:lang w:val="bg-BG"/>
        </w:rPr>
        <w:t>времевата ориентация</w:t>
      </w:r>
      <w:r>
        <w:rPr>
          <w:b w:val="false"/>
          <w:lang w:val="bg-BG"/>
        </w:rPr>
        <w:t xml:space="preserve">. Така например при лицата, ориентирани към бъдещето и настоящето, висшите социални и личностни потребности имат високи рангови места и доминират над материалните ценности. При лицата, ориентирани към миналото, материалното благополучие се цени повече за сметка на девалоризацията на личностните ценности.  </w:t>
      </w:r>
    </w:p>
    <w:p>
      <w:pPr>
        <w:pStyle w:val="Heading3"/>
        <w:numPr>
          <w:ilvl w:val="0"/>
          <w:numId w:val="55"/>
        </w:numPr>
        <w:jc w:val="both"/>
        <w:rPr/>
      </w:pPr>
      <w:r>
        <w:rPr>
          <w:b w:val="false"/>
          <w:lang w:val="bg-BG"/>
        </w:rPr>
        <w:t xml:space="preserve">Съществува </w:t>
      </w:r>
      <w:r>
        <w:rPr>
          <w:lang w:val="bg-BG"/>
        </w:rPr>
        <w:t>силна зависимост между степента  на реализация на целите през</w:t>
      </w:r>
      <w:r>
        <w:rPr>
          <w:b w:val="false"/>
          <w:lang w:val="bg-BG"/>
        </w:rPr>
        <w:t xml:space="preserve"> </w:t>
      </w:r>
      <w:r>
        <w:rPr>
          <w:lang w:val="bg-BG"/>
        </w:rPr>
        <w:t>изминатия житейски път и времевия хоризонт</w:t>
      </w:r>
      <w:r>
        <w:rPr>
          <w:b w:val="false"/>
          <w:lang w:val="bg-BG"/>
        </w:rPr>
        <w:t xml:space="preserve">: високата степен на реализация на целите е предпоставка за изграждането на перспективността на личността и за формирането на дългосрочни програми на поведение, основа на “успешното и забавено стареене”. И, обратното, самооценката за неосъществени жизнени цели обуславя преобладаващата ориентация към миналото. </w:t>
      </w:r>
    </w:p>
    <w:p>
      <w:pPr>
        <w:pStyle w:val="Heading3"/>
        <w:numPr>
          <w:ilvl w:val="0"/>
          <w:numId w:val="55"/>
        </w:numPr>
        <w:jc w:val="both"/>
        <w:rPr/>
      </w:pPr>
      <w:r>
        <w:rPr>
          <w:b w:val="false"/>
          <w:lang w:val="bg-BG"/>
        </w:rPr>
        <w:t xml:space="preserve">Подчертава се липсата на единство между учените по въпроса за характера на  взаимовръзката между времевия хоризонт и идентичността на личността.  Периодът след 60 години някои автори го разглеждат като период на интензификация на упадъка (на негативна еволюция), докато други говорят за положителна еволюция на Аз-концепцията на личността при старите хора, възстановяване на самооценката и понякога свръхсамооценка чрез различни компенсаторни механизми. В зависимост от преобладаващата ориентация във времевия хоризонт психичните промени се възприемат и преживяват различно. Основният извод е, че личностната значимост и на този възрастов етап запазва при старите хора, ориентирани към бъдещето, целостта на личността и разглеждането на времето като перспектива за развитие и разкриване на възможностите. </w:t>
      </w:r>
    </w:p>
    <w:p>
      <w:pPr>
        <w:pStyle w:val="Heading3"/>
        <w:numPr>
          <w:ilvl w:val="0"/>
          <w:numId w:val="55"/>
        </w:numPr>
        <w:jc w:val="both"/>
        <w:rPr>
          <w:b w:val="false"/>
          <w:b w:val="false"/>
          <w:lang w:val="bg-BG"/>
        </w:rPr>
      </w:pPr>
      <w:r>
        <w:rPr>
          <w:b w:val="false"/>
          <w:lang w:val="bg-BG"/>
        </w:rPr>
        <w:t xml:space="preserve">Изследването на взаимовръзката между времевия хоризонт и социалната активност свидетелства, че перспективността на личността (ориентацията към бъдещето) е предпоставка за по-голямата ангажираност в социалните дейности. Налице е положителна зависимост между времевия хоризонт и комуникативните способности, осигуряващи интеграцията на тази възрастова група с различните социални общности.  </w:t>
      </w:r>
    </w:p>
    <w:p>
      <w:pPr>
        <w:pStyle w:val="Heading3"/>
        <w:numPr>
          <w:ilvl w:val="0"/>
          <w:numId w:val="55"/>
        </w:numPr>
        <w:jc w:val="both"/>
        <w:rPr/>
      </w:pPr>
      <w:r>
        <w:rPr>
          <w:b w:val="false"/>
          <w:lang w:val="bg-BG"/>
        </w:rPr>
        <w:t xml:space="preserve">Жизнените цели и жизненият смисъл в третата възраст са показател за различно равнище на развитие и съхраняване на личността. Наблюдават се известни различия по отношение на близките и далечните цели, които си поставят хората от третата възраст. Липсата на цели в рамките на близкото бъдеще обикновено се обяснява с нарушаването на ритъма на живота на човека след неговото пенсиониране, а в рамките на по-далечните цели  – с неизвестността на бъдещето. Нарушаването на най-важния елемент на целеполагането – </w:t>
      </w:r>
      <w:r>
        <w:rPr>
          <w:i/>
          <w:lang w:val="bg-BG"/>
        </w:rPr>
        <w:t>отдалечеността на</w:t>
      </w:r>
      <w:r>
        <w:rPr>
          <w:lang w:val="bg-BG"/>
        </w:rPr>
        <w:t xml:space="preserve"> </w:t>
      </w:r>
      <w:r>
        <w:rPr>
          <w:i/>
          <w:lang w:val="bg-BG"/>
        </w:rPr>
        <w:t>целите</w:t>
      </w:r>
      <w:r>
        <w:rPr>
          <w:b w:val="false"/>
          <w:lang w:val="bg-BG"/>
        </w:rPr>
        <w:t xml:space="preserve"> във времето води до разпад на жизнените й планове, а това рязко намалява саморегулативните й механизми. Прави впечатление, че в йерархията на целите (както по-близките, така и по-далечните) на първо място се поставя удовлетворяването на просоциалната потребност “да бъда полезен на другите” (семейство, деца, внуци). На второ място по представителност е “запазването на здравето”, а на трето  – “трудът и самоусъвършенстването”. При това в далечните програми е налице известно обезценяване на материалните цели за сметка на нарастването на значението на социалните цели (да съм полезен за обществото) и съпричастността към общочовешките проблеми и социалния прогрес. </w:t>
      </w:r>
    </w:p>
    <w:p>
      <w:pPr>
        <w:pStyle w:val="Heading3"/>
        <w:numPr>
          <w:ilvl w:val="0"/>
          <w:numId w:val="55"/>
        </w:numPr>
        <w:jc w:val="both"/>
        <w:rPr/>
      </w:pPr>
      <w:r>
        <w:rPr>
          <w:b w:val="false"/>
          <w:lang w:val="bg-BG"/>
        </w:rPr>
        <w:t xml:space="preserve">Анализът на съдържанието и динамиката на жизнения смисъл показва, че първият жизнен център, който интегрира отношенията на стария човек е семейството; вторият –  здравето; третият –  трудът  и обществената дейност, а четвъртият – почивката. Налице е известно балансиране между просоциалната (алтруистичната) насоченост на съществуването и егоцентричната (себесъхраняващата) позиция в живота, със значително преобладаване на първата тенденция.  Възрастовата промяна в жизнените програми на хората от третата възраст се състои в намаляването на целеобразуващото значение на активната, развиващата дейност – труда и обществената дейност и повишаването значението на опазването на здравето и почивката. Запазването на интегриращата и подбудителна сила на личностните потребности при възрастните с жизнен смисъл “труд и обществена дейност” свидетелства, че при тях продължават да функционират висшите диспозиционни структури на личността. При лицата с жизнен смисъл “почивка” и “здраве” ниското ценностно отношение към своите възможности е показател за сериозни нарушения във функционирането на тези структури, което крие опасност за спад на жизнеспособността. Възрастните с жизнен смисъл “труд и обществена дейност” и “полезен за децата” в сравнение с другите жизнени ориентации демонстрират най-висока самооценка на физическото си състояние, най-ниска степен на тревожност, най-висока способност за адаптация към неизбежните психологически загуби на възрастта. Установява се и още една важна  тенденция. Степента на реализация на целите, удовлетвореността и преживяването на успеха в жизнения път води до специфичен начин на снемане на социалните потребности на личността. При висока степен на реализация на целите и високо ниво на аспирации на личността обществените потребности се свързват с личностните потребности. Това води до изграждането на определена стратегия и смисъл на живота, а именно стремеж за творческа изява в обществено-полезни дейности. Тази насоченост  е главно условие за запазване на жизнеспособността в напреднала и старческа възраст. Съвсем други модели на целеполагане действат при старите хора с неосъществени цели в живота. Ниската степен на реализация на целите понижава самооценката на личността и изключва личните възможности и способности  от кръга на адекватните средства за реализация на обществените цели. Изграждането на такива модели на целеполагане спира хармоничното развитие на личността и е източник на обезценяването й и за нейната инволюция. </w:t>
      </w:r>
    </w:p>
    <w:p>
      <w:pPr>
        <w:pStyle w:val="Heading2"/>
        <w:rPr/>
      </w:pPr>
      <w:bookmarkStart w:id="29" w:name="__RefHeading___Toc89859690"/>
      <w:bookmarkEnd w:id="29"/>
      <w:r>
        <w:rPr/>
        <w:t>7.2.  Ценностни ориентации и интереси в третата възраст</w:t>
      </w:r>
    </w:p>
    <w:p>
      <w:pPr>
        <w:pStyle w:val="Heading3"/>
        <w:jc w:val="both"/>
        <w:rPr/>
      </w:pPr>
      <w:r>
        <w:rPr>
          <w:lang w:val="bg-BG"/>
        </w:rPr>
        <w:t>Системата от ценности и ценностни ориентации</w:t>
      </w:r>
      <w:r>
        <w:rPr>
          <w:b w:val="false"/>
          <w:lang w:val="bg-BG"/>
        </w:rPr>
        <w:t xml:space="preserve">  е цялостно, относително самостоятелно личностно образувание, през което “се пречупват”  преди всичко характеристиките на социалната  дейност на човека. Тя играе важна роля в регулацията на поведението, защото  “издига” личността в качеството на инициатор на собствените си постъпки и действия. Ценностните ориентации на възрастния човек се отличават с редица особености, произтичащи от социалните, психичните и физиологичните промени, настъпили с напредването на възрастта. С други думи, процесът на социална адаптация в третата възраст в значителна степен се обуславя от динамичността, гъвкавостта на ценностната система на отделния човек, от способността му да приема нови, специфични за изискванията на тази възраст ценности, от степента на идентификация с различните аспекти на новата му  социална роля.  </w:t>
      </w:r>
    </w:p>
    <w:p>
      <w:pPr>
        <w:pStyle w:val="Heading3"/>
        <w:jc w:val="both"/>
        <w:rPr/>
      </w:pPr>
      <w:r>
        <w:rPr>
          <w:b w:val="false"/>
          <w:lang w:val="bg-BG"/>
        </w:rPr>
        <w:t>“</w:t>
      </w:r>
      <w:r>
        <w:rPr>
          <w:b w:val="false"/>
          <w:lang w:val="bg-BG"/>
        </w:rPr>
        <w:t>Динамиката на ценностната система играе важна роля в процесите на социалната адаптация на личността през различните фази на жизнения цикъл. Процесът на човешкия живот се характеризира с постоянни преструктурирания на ценностната система успоредно с промените, съпътстващи изпълнението на комплекса от социални роли и характерните за тях ценности. Равнището на социалната адаптация в старческа възраст може да се интерпретира и като отражение на способността на личността да модифицира ценностната си йерархия съобразно изискванията на старческата възраст и различния в много отношения начин на живот… Докато в младежките години ценностната система е в процес на изграждане и в голяма степен отразява влиянието на обществената система от ценности, на ценностите на първичните социални групи и на най-близката социална среда, то ценностната система на стария човек се оформя както под влияние на актуалното обкръжение, така и под влиянието на предварително изградената и стабилизирана система от ценности… Човек си изгражда стил на приспособяване и този стил е пряко свързан с личностните особености” (57, с. 84-85).</w:t>
      </w:r>
    </w:p>
    <w:p>
      <w:pPr>
        <w:pStyle w:val="Heading3"/>
        <w:jc w:val="both"/>
        <w:rPr/>
      </w:pPr>
      <w:r>
        <w:rPr>
          <w:b w:val="false"/>
          <w:lang w:val="bg-BG"/>
        </w:rPr>
        <w:t xml:space="preserve">Идентичността на личността обаче не е константна величина в продължение на жизнения цикъл. От една страна, </w:t>
      </w:r>
      <w:r>
        <w:rPr>
          <w:lang w:val="bg-BG"/>
        </w:rPr>
        <w:t>динамиката на ценностите</w:t>
      </w:r>
      <w:r>
        <w:rPr>
          <w:b w:val="false"/>
          <w:lang w:val="bg-BG"/>
        </w:rPr>
        <w:t xml:space="preserve"> се обуславя  от промени, имащи общосоциален характер, а от друга - и от промени в конкретната жизнена ситуация на човека. При това най-съществени са промените, свързани с  неговия жизнен цикъл, с процесите на неговото съзряване и стареене. В третата възраст и особено след пенсионирането си човек започва “да се движи сам” в структурата на обществените отношения. Макар и да продължава да участва в обществено-политическия живот, той вече не се намира под прякото въздействие на онези институциализирани системи, в които е бил  активно включен по-рано. С остаряването му нараства неговата ригидност. Ценностната му система става по-консервативна откъм външни влияния, което се обяснява, че от “върха на годините” той се чувства много по-уверен в себе си и предпочита да определя самостоятелно своето поведение и начин на живот. Но това съвсем не означава, че ценностната система на възрастния човек остава неизменна. Макар и излязъл от  институционализирания  дейностен процес, съхраняването на неговата социална активност е важна   предпоставка   той  да продължава да бъде пълноценен член на обществото. </w:t>
      </w:r>
    </w:p>
    <w:p>
      <w:pPr>
        <w:pStyle w:val="Heading3"/>
        <w:jc w:val="both"/>
        <w:rPr/>
      </w:pPr>
      <w:r>
        <w:rPr>
          <w:b w:val="false"/>
          <w:lang w:val="bg-BG"/>
        </w:rPr>
        <w:t xml:space="preserve">Проведеното от В. </w:t>
      </w:r>
      <w:r>
        <w:rPr>
          <w:lang w:val="bg-BG"/>
        </w:rPr>
        <w:t>Топалова</w:t>
      </w:r>
      <w:r>
        <w:rPr>
          <w:b w:val="false"/>
          <w:lang w:val="bg-BG"/>
        </w:rPr>
        <w:t xml:space="preserve"> и Кр. </w:t>
      </w:r>
      <w:r>
        <w:rPr>
          <w:lang w:val="bg-BG"/>
        </w:rPr>
        <w:t>Крумов</w:t>
      </w:r>
      <w:r>
        <w:rPr>
          <w:b w:val="false"/>
          <w:lang w:val="bg-BG"/>
        </w:rPr>
        <w:t xml:space="preserve"> през 80-те години на ХХ век изследване на </w:t>
      </w:r>
      <w:r>
        <w:rPr>
          <w:lang w:val="bg-BG"/>
        </w:rPr>
        <w:t>системата от ценностни ориентации и интереси</w:t>
      </w:r>
      <w:r>
        <w:rPr>
          <w:b w:val="false"/>
          <w:lang w:val="bg-BG"/>
        </w:rPr>
        <w:t xml:space="preserve"> на лица от третата възраст позволява да се направят следните по-важни изводи (57, с. 74-105):</w:t>
      </w:r>
    </w:p>
    <w:p>
      <w:pPr>
        <w:pStyle w:val="Heading3"/>
        <w:numPr>
          <w:ilvl w:val="0"/>
          <w:numId w:val="62"/>
        </w:numPr>
        <w:jc w:val="both"/>
        <w:rPr/>
      </w:pPr>
      <w:r>
        <w:rPr>
          <w:b w:val="false"/>
          <w:lang w:val="bg-BG"/>
        </w:rPr>
        <w:t xml:space="preserve">Особеното в </w:t>
      </w:r>
      <w:r>
        <w:rPr>
          <w:lang w:val="bg-BG"/>
        </w:rPr>
        <w:t>ценностната система</w:t>
      </w:r>
      <w:r>
        <w:rPr>
          <w:b w:val="false"/>
          <w:lang w:val="bg-BG"/>
        </w:rPr>
        <w:t xml:space="preserve"> на възрастния човек се състои не само в богатството на нейната съдържателна страна, а преди всичко в това, че системата от ценностни отношения към едни или други страни на обществения живот, социални факти и явления е </w:t>
      </w:r>
      <w:r>
        <w:rPr>
          <w:i/>
          <w:lang w:val="bg-BG"/>
        </w:rPr>
        <w:t>преживяна</w:t>
      </w:r>
      <w:r>
        <w:rPr>
          <w:b w:val="false"/>
          <w:lang w:val="bg-BG"/>
        </w:rPr>
        <w:t xml:space="preserve"> </w:t>
      </w:r>
      <w:r>
        <w:rPr>
          <w:lang w:val="bg-BG"/>
        </w:rPr>
        <w:t>актуално в миналия опит</w:t>
      </w:r>
      <w:r>
        <w:rPr>
          <w:b w:val="false"/>
          <w:lang w:val="bg-BG"/>
        </w:rPr>
        <w:t xml:space="preserve">. Тези отношения фигурират в плана на индивидуалното съзнание като изключителни събития, в които реално е била въвлечена личността, които се “помнят” и се “знаят” от нея и при определени условия отново могат да предизвикат промяна в нейното емоционално състояние, да тласнат поведението й в една или друга посока. В ретроспективен план на първо място се нареждат отношенията с децата, на второ място – съпружеските отношения,  на трето – събитията, свързани със здравето,  на четвърто – успехите в труда и на пето – отношенията с родителите. По-малко значение се придава на определянето на професията, политическите събития, приятелските отношения, материалните придобивки и промяната в работата. При това не се установяват  съществени различия по възрастов и полов признак. </w:t>
      </w:r>
    </w:p>
    <w:p>
      <w:pPr>
        <w:pStyle w:val="Heading3"/>
        <w:numPr>
          <w:ilvl w:val="0"/>
          <w:numId w:val="62"/>
        </w:numPr>
        <w:jc w:val="both"/>
        <w:rPr/>
      </w:pPr>
      <w:r>
        <w:rPr>
          <w:b w:val="false"/>
          <w:lang w:val="bg-BG"/>
        </w:rPr>
        <w:t xml:space="preserve">По отношение на </w:t>
      </w:r>
      <w:r>
        <w:rPr>
          <w:lang w:val="bg-BG"/>
        </w:rPr>
        <w:t>актуалното състояние на ценностната система</w:t>
      </w:r>
      <w:r>
        <w:rPr>
          <w:b w:val="false"/>
          <w:lang w:val="bg-BG"/>
        </w:rPr>
        <w:t xml:space="preserve"> изследваните лица поставят на първо място да бъдат полезни материално и морално на децата и близките си. На второ място стои стремежът да запазят собственото си здраве и да постигнат дълголетие. На трето място е желанието да продължат да участват в трудовата и обществената дейност. На последно място е почивката след дългогодишния труд. Съществуват обаче известни различия по възрастов и полов признак. Така например за разлика от мъжете жените не придават особено голямо значение на участието в трудовата и обществената дейност и тази ценност при тях е на последно място. При всички възрастови групи доминира стремежът да бъдат полезни на децата и близките си. Няма големи отклонения и по отношение на стремежа за запазване на здравето и почивката. Съществени различия обаче се наблюдават по въпроса за продължаване на участието в трудовата и обществената дейност. За лицата над 70-годишна възраст тази ценност напълно разбираемо заема последно място. </w:t>
      </w:r>
    </w:p>
    <w:p>
      <w:pPr>
        <w:pStyle w:val="Heading3"/>
        <w:numPr>
          <w:ilvl w:val="0"/>
          <w:numId w:val="62"/>
        </w:numPr>
        <w:jc w:val="both"/>
        <w:rPr/>
      </w:pPr>
      <w:r>
        <w:rPr>
          <w:b w:val="false"/>
          <w:lang w:val="bg-BG"/>
        </w:rPr>
        <w:t>В отговор на въпроса “</w:t>
      </w:r>
      <w:r>
        <w:rPr>
          <w:lang w:val="bg-BG"/>
        </w:rPr>
        <w:t>Кое е най-важното в човешкия живот</w:t>
      </w:r>
      <w:r>
        <w:rPr>
          <w:b w:val="false"/>
          <w:lang w:val="bg-BG"/>
        </w:rPr>
        <w:t xml:space="preserve">” на първо място се поставя “здравето и жизнеността”. Други водещи ценности са: “семейното щастие”, “непримиримото отношение към недостатъците и несправедливостта",”уважението и признанието от страна на другите","приятелството". Към съвсем незначими за човека изследваните лица посочват “лекия и безгрижен живот”, “славата”,”общественото положение (властта)”, “професионалната кариера”. Може да се обобщи, че изследваната възрастова група придава по-голямо значение на явления, характеризиращи идеалната, духовната страна на човешкия живот. Такива “вечни” човешки ценности, като щастие, справедливост, приятелство и т.н. далеч надвишават явленията, характеризиращи “консумативната” страна на ежедневието – безгрижието, кариерата, властта. Тази “картина” не претърпява изменение във възрастов и полов план. </w:t>
      </w:r>
    </w:p>
    <w:p>
      <w:pPr>
        <w:pStyle w:val="Heading3"/>
        <w:numPr>
          <w:ilvl w:val="0"/>
          <w:numId w:val="62"/>
        </w:numPr>
        <w:jc w:val="both"/>
        <w:rPr/>
      </w:pPr>
      <w:r>
        <w:rPr>
          <w:b w:val="false"/>
          <w:lang w:val="bg-BG"/>
        </w:rPr>
        <w:t>При проследяване  динамиката на ценностните системи през различните периоди на жизнения цикъл на човека с акцент върху “труда като ценност” се стига до извода, че съдържателните характеристики на работата имат по-голяма ценност в първите етапи и кулминацията на трудово-професионалната реализация. Постепенно с  възрастта разширяването на комплекса от социални роли, нарастването на отговорностите и на потребността от материална стабилизация засилват значимостта на тези характеристики на работата, които я определят предимно като средство за постигане на други, по-важни ценности. С други думи, постепенно нараства значимостта на хедонистичните и инструменталните ценности, намалява приоритетът на ценностите, свързани с трудовата реализация.</w:t>
      </w:r>
    </w:p>
    <w:p>
      <w:pPr>
        <w:pStyle w:val="Heading3"/>
        <w:numPr>
          <w:ilvl w:val="0"/>
          <w:numId w:val="62"/>
        </w:numPr>
        <w:jc w:val="both"/>
        <w:rPr/>
      </w:pPr>
      <w:r>
        <w:rPr>
          <w:b w:val="false"/>
          <w:lang w:val="bg-BG"/>
        </w:rPr>
        <w:t xml:space="preserve">Структурата на ценностите в третата  възраст зависи както от реалната жизнена ситуация на стария човек, така и от формирането на предварително изградената система  от ценности, свързани с изпълнението на специфичните социални роли. В тази възраст се наблюдава тенденцията на постепенното оттегляне от активно участие в социалния живот – намалява интересът към общите социални проблеми, потребността от активна професионална изява и развитие на личните способности. Приспособяването обаче е активен процес и даже в  старческа възраст, когато възможностите за активно въздействие върху обстоятелствата са по-ограничени, могат да се намерят подходящи форми на дейност и общуване за промяна на Аз-концепцията  на  стария човек с оглед да се поддържа значимостта на ценностите, които придават смисъл на човешкия живот. </w:t>
      </w:r>
    </w:p>
    <w:p>
      <w:pPr>
        <w:pStyle w:val="Heading3"/>
        <w:numPr>
          <w:ilvl w:val="0"/>
          <w:numId w:val="62"/>
        </w:numPr>
        <w:jc w:val="both"/>
        <w:rPr>
          <w:b w:val="false"/>
          <w:b w:val="false"/>
          <w:lang w:val="bg-BG"/>
        </w:rPr>
      </w:pPr>
      <w:r>
        <w:rPr>
          <w:b w:val="false"/>
          <w:lang w:val="bg-BG"/>
        </w:rPr>
        <w:t xml:space="preserve">За формиране на по-цялостна представа за духовния живот на хората от третата възраст допринася изследването на техните интереси. По отношение на културните им интереси, установявани чрез равнището на посещаемост на някои от основните форми на културна дейност,  първо място заема  киното, а  второ – театърът. Много по-малка е посещаемостта на концерти, художествени изложби, опера, цирк. Данните за спортните им интереси свидетелстват, че значителна част от лицата от тази възрастова група не се занимава със спортуване. Общо за изследваната съвкупност най-предпочитан спорт е туризмът.  На въпроса “Занимавате ли се с някои от посочените творчески дейности: литература, музика, живопис, художествени занятия, научно творчество?” около 70 % от анкетираните дават  отрицателен отговор, като при мъжете този процент е по-малък, в сравнение с жените. Сред положителните отговори на първо място се поставя литературата, на второ – музиката, следвана от художествените занятия, научното творчество и живописта.  Основният извод, който би следвало да се направи, е, че тенденция за “стесняване” на интересите с напредването  на възрастта съществува, но тя трябва да се приеме твърде условно. </w:t>
      </w:r>
    </w:p>
    <w:p>
      <w:pPr>
        <w:pStyle w:val="Heading2"/>
        <w:rPr/>
      </w:pPr>
      <w:bookmarkStart w:id="30" w:name="__RefHeading___Toc89859691"/>
      <w:bookmarkEnd w:id="30"/>
      <w:r>
        <w:rPr/>
        <w:t>7.3. Емоционален статус и самочувствие в третата възраст</w:t>
      </w:r>
    </w:p>
    <w:p>
      <w:pPr>
        <w:pStyle w:val="Heading3"/>
        <w:jc w:val="both"/>
        <w:rPr/>
      </w:pPr>
      <w:r>
        <w:rPr>
          <w:lang w:val="bg-BG"/>
        </w:rPr>
        <w:t>Емоционалната сфера</w:t>
      </w:r>
      <w:r>
        <w:rPr>
          <w:b w:val="false"/>
          <w:lang w:val="bg-BG"/>
        </w:rPr>
        <w:t xml:space="preserve"> на хората от третата възраст има изключително важно значение за тяхната адаптация в настъпилите промени в жизнените условия.  Емоционалният статус на възрастния човек има твърде сложна структура, която все още не е изучена задълбочено поради липсата на надеждни методи и инструменти за изследване. Както изтъква Ив. </w:t>
      </w:r>
      <w:r>
        <w:rPr>
          <w:lang w:val="bg-BG"/>
        </w:rPr>
        <w:t>Паспаланов</w:t>
      </w:r>
      <w:r>
        <w:rPr>
          <w:b w:val="false"/>
          <w:lang w:val="bg-BG"/>
        </w:rPr>
        <w:t xml:space="preserve">, “емоционалната сфера на възрастния човек е тясно свързана с неговата активност и цялостна жизнена позиция. И не само в нейните динамични параметри (чувствителност, впечатлителност, лабилност и т.н.), но и в нейните </w:t>
      </w:r>
      <w:r>
        <w:rPr>
          <w:i/>
          <w:lang w:val="bg-BG"/>
        </w:rPr>
        <w:t>личностни измерения</w:t>
      </w:r>
      <w:r>
        <w:rPr>
          <w:lang w:val="bg-BG"/>
        </w:rPr>
        <w:t xml:space="preserve"> – </w:t>
      </w:r>
      <w:r>
        <w:rPr>
          <w:b w:val="false"/>
          <w:lang w:val="bg-BG"/>
        </w:rPr>
        <w:t xml:space="preserve">общо самочувствие, преживяване на образа на собственото “Аз” (самооценката), тревожна или оптимистична нагласа към заобикалящия свят и към бъдещето”( 57, с. 106-107). В проведеното от автора през 80-те години на ХХ век изследване са включени четири основни признака на емоционалния статус и самочувствието на хората от третата възраст: </w:t>
      </w:r>
      <w:r>
        <w:rPr>
          <w:i/>
          <w:lang w:val="bg-BG"/>
        </w:rPr>
        <w:t>самооценка на физическото състояние</w:t>
      </w:r>
      <w:r>
        <w:rPr>
          <w:b w:val="false"/>
          <w:lang w:val="bg-BG"/>
        </w:rPr>
        <w:t xml:space="preserve"> (“физическо самочувствие”); </w:t>
      </w:r>
      <w:r>
        <w:rPr>
          <w:i/>
          <w:lang w:val="bg-BG"/>
        </w:rPr>
        <w:t>възприемане и адаптация към възрастовите промени в</w:t>
      </w:r>
      <w:r>
        <w:rPr>
          <w:lang w:val="bg-BG"/>
        </w:rPr>
        <w:t xml:space="preserve"> </w:t>
      </w:r>
      <w:r>
        <w:rPr>
          <w:i/>
          <w:lang w:val="bg-BG"/>
        </w:rPr>
        <w:t>психичните</w:t>
      </w:r>
      <w:r>
        <w:rPr>
          <w:b w:val="false"/>
          <w:i/>
          <w:lang w:val="bg-BG"/>
        </w:rPr>
        <w:t xml:space="preserve"> </w:t>
      </w:r>
      <w:r>
        <w:rPr>
          <w:i/>
          <w:lang w:val="bg-BG"/>
        </w:rPr>
        <w:t>функции; чувството, с което се очаква бъдещето</w:t>
      </w:r>
      <w:r>
        <w:rPr>
          <w:b w:val="false"/>
          <w:lang w:val="bg-BG"/>
        </w:rPr>
        <w:t xml:space="preserve"> (сигурност и спокойствие или безспокойство); </w:t>
      </w:r>
      <w:r>
        <w:rPr>
          <w:i/>
          <w:lang w:val="bg-BG"/>
        </w:rPr>
        <w:t>равнище на тре</w:t>
      </w:r>
      <w:r>
        <w:rPr>
          <w:lang w:val="bg-BG"/>
        </w:rPr>
        <w:t>вожно</w:t>
      </w:r>
      <w:r>
        <w:rPr>
          <w:i/>
          <w:lang w:val="bg-BG"/>
        </w:rPr>
        <w:t>ст</w:t>
      </w:r>
      <w:r>
        <w:rPr>
          <w:b w:val="false"/>
          <w:lang w:val="bg-BG"/>
        </w:rPr>
        <w:t xml:space="preserve">. Резултатите от това изследване по-обобщено могат да се представят по следния начин(с.107-141):  </w:t>
      </w:r>
    </w:p>
    <w:p>
      <w:pPr>
        <w:pStyle w:val="Heading3"/>
        <w:jc w:val="both"/>
        <w:rPr/>
      </w:pPr>
      <w:r>
        <w:rPr>
          <w:b w:val="false"/>
          <w:lang w:val="bg-BG"/>
        </w:rPr>
        <w:t xml:space="preserve">І. </w:t>
      </w:r>
      <w:r>
        <w:rPr>
          <w:lang w:val="bg-BG"/>
        </w:rPr>
        <w:t>По отношение на самооценката на физическото състояние</w:t>
      </w:r>
      <w:r>
        <w:rPr>
          <w:b w:val="false"/>
          <w:lang w:val="bg-BG"/>
        </w:rPr>
        <w:t>.</w:t>
      </w:r>
      <w:r>
        <w:rPr>
          <w:lang w:val="bg-BG"/>
        </w:rPr>
        <w:t xml:space="preserve"> </w:t>
      </w:r>
    </w:p>
    <w:p>
      <w:pPr>
        <w:pStyle w:val="Heading3"/>
        <w:numPr>
          <w:ilvl w:val="0"/>
          <w:numId w:val="35"/>
        </w:numPr>
        <w:jc w:val="both"/>
        <w:rPr/>
      </w:pPr>
      <w:r>
        <w:rPr>
          <w:b w:val="false"/>
          <w:lang w:val="bg-BG"/>
        </w:rPr>
        <w:t xml:space="preserve">С възрастта чувствително се повишава </w:t>
      </w:r>
      <w:r>
        <w:rPr>
          <w:i/>
          <w:lang w:val="bg-BG"/>
        </w:rPr>
        <w:t>субективната ценност</w:t>
      </w:r>
      <w:r>
        <w:rPr>
          <w:b w:val="false"/>
          <w:lang w:val="bg-BG"/>
        </w:rPr>
        <w:t xml:space="preserve"> на физическото самочувствие. Това се обяснява преди всичко с промените в здравословното състояние в третата възраст (увеличаването на заболяванията на двигателната, храносмилателната, сърдечносъдовата и други системи). Ето защо самооценката на физическото състояние се разглежда не само като компонент на общия емоционален статус и самочувствието на възрастните хора, а и като показател на общата удовлетвореност от живота. </w:t>
      </w:r>
    </w:p>
    <w:p>
      <w:pPr>
        <w:pStyle w:val="Heading3"/>
        <w:numPr>
          <w:ilvl w:val="0"/>
          <w:numId w:val="35"/>
        </w:numPr>
        <w:jc w:val="both"/>
        <w:rPr/>
      </w:pPr>
      <w:r>
        <w:rPr>
          <w:b w:val="false"/>
          <w:lang w:val="bg-BG"/>
        </w:rPr>
        <w:t xml:space="preserve">Установява се, че лицата с </w:t>
      </w:r>
      <w:r>
        <w:rPr>
          <w:lang w:val="bg-BG"/>
        </w:rPr>
        <w:t>висока самооценка на физическото си състояние</w:t>
      </w:r>
      <w:r>
        <w:rPr>
          <w:b w:val="false"/>
          <w:lang w:val="bg-BG"/>
        </w:rPr>
        <w:t xml:space="preserve"> (спрямо с това на другите от същата възраст) са почти половината от изследваните, а делът на тези с ниска самооценка е твърде малък. Това се обяснява с познатата в  психологията тенденция към запазване на висока самооценка като своеобразен защитен механизъм за поддържане на самочувствието и цялостната концепция за себе си.  </w:t>
      </w:r>
    </w:p>
    <w:p>
      <w:pPr>
        <w:pStyle w:val="Heading3"/>
        <w:numPr>
          <w:ilvl w:val="0"/>
          <w:numId w:val="35"/>
        </w:numPr>
        <w:jc w:val="both"/>
        <w:rPr/>
      </w:pPr>
      <w:r>
        <w:rPr>
          <w:b w:val="false"/>
          <w:lang w:val="bg-BG"/>
        </w:rPr>
        <w:t xml:space="preserve">Възрастовата динамика в самооценката на физическото състояние очертава една нормална тенденция: с възрастта намалява съвкупността на лицата с висока и средна самооценка и се увеличава съвкупността на лицата с ниска самооценка.  В рамките на тази обща тенденция се наблюдава интересна флуктуация: след 80-годишна възраст чувствително нараства процентът на лицата с висока самооценка и намалява процентът на лицата с ниска самооценка. Обясненията се търсят във възможността за занижени критерии за сомооценка поради по-ограничените контакти на тези лица с връстници, а също с констатираната при други изследвания тенденция за устойчивост на болести на хора над 75-80 години. </w:t>
      </w:r>
    </w:p>
    <w:p>
      <w:pPr>
        <w:pStyle w:val="Heading3"/>
        <w:numPr>
          <w:ilvl w:val="0"/>
          <w:numId w:val="35"/>
        </w:numPr>
        <w:jc w:val="both"/>
        <w:rPr/>
      </w:pPr>
      <w:r>
        <w:rPr>
          <w:b w:val="false"/>
          <w:lang w:val="bg-BG"/>
        </w:rPr>
        <w:t>Не се установяват значими различия в самооценката на физическото състояние между двата пола, както и по отношение на семейното положение, социалното положение до пенсионирането и обществено-политическия статус. Спрямо фактора образование само при хората от старческите домове с нарастване на образователното равнище нарастват и високите самооценки, а намаляват ниските.</w:t>
      </w:r>
    </w:p>
    <w:p>
      <w:pPr>
        <w:pStyle w:val="Heading3"/>
        <w:numPr>
          <w:ilvl w:val="0"/>
          <w:numId w:val="35"/>
        </w:numPr>
        <w:jc w:val="both"/>
        <w:rPr/>
      </w:pPr>
      <w:r>
        <w:rPr>
          <w:b w:val="false"/>
          <w:lang w:val="bg-BG"/>
        </w:rPr>
        <w:t xml:space="preserve">Налице е обаче статистически значима зависимост на динамиката на физическото самочувствие от степента на реализация на жизнените цели на личността, свързани с професионалната дейност, материалното осигуряване, семейството и децата, образованието, обществено-политическата дейност. Общата удовлетвореност от труда съществено влияе върху физическото самочувствие: високите самооценки преобладават в групата на удовлетворените от своя труд; респективно ниските самооценки преобладават в групата на неудовлетворените от труда си. Преживяването на липсата на трудови ангажименти като “заслужена почивка” е характерно в най-голяма степен за хората с  ниско физическо самочувствие. Доброто физическо самочувствие обаче поддържа друга ценностна нагласа – липсата на труда се свързва предимно със загубата на смисъл в живота и чувство за собствена ценност. </w:t>
      </w:r>
    </w:p>
    <w:p>
      <w:pPr>
        <w:pStyle w:val="Heading3"/>
        <w:numPr>
          <w:ilvl w:val="0"/>
          <w:numId w:val="35"/>
        </w:numPr>
        <w:jc w:val="both"/>
        <w:rPr>
          <w:b w:val="false"/>
          <w:b w:val="false"/>
          <w:lang w:val="bg-BG"/>
        </w:rPr>
      </w:pPr>
      <w:r>
        <w:rPr>
          <w:b w:val="false"/>
          <w:lang w:val="bg-BG"/>
        </w:rPr>
        <w:t xml:space="preserve">Влиянието на физическото самочувствие върху ценностната нагласа на възрастния човек се разкрива и в отношението към общуването. Ориентацията към общуване с младите доминира при възрастните с добро самочувствие, а е най-слаба при тези с ниска самооценка. В групата на възрастните с ниско самочувствие най-силно се проявява и тенденцията към затваряне в себе си и избягване на контакти с хората. С други думи, доброто самочувствие в третата възраст може да се разглежда не само като страна на общата удовлетвореност от живота, а и като фактор, който мотивира общуването. </w:t>
      </w:r>
    </w:p>
    <w:p>
      <w:pPr>
        <w:pStyle w:val="Heading3"/>
        <w:ind w:left="60" w:firstLine="567"/>
        <w:jc w:val="both"/>
        <w:rPr/>
      </w:pPr>
      <w:r>
        <w:rPr>
          <w:b w:val="false"/>
          <w:lang w:val="bg-BG"/>
        </w:rPr>
        <w:t xml:space="preserve">ІІ. </w:t>
      </w:r>
      <w:r>
        <w:rPr>
          <w:lang w:val="bg-BG"/>
        </w:rPr>
        <w:t xml:space="preserve">По отношение на адаптацията към възрастовите психични промени </w:t>
      </w:r>
    </w:p>
    <w:p>
      <w:pPr>
        <w:pStyle w:val="Heading3"/>
        <w:numPr>
          <w:ilvl w:val="0"/>
          <w:numId w:val="44"/>
        </w:numPr>
        <w:jc w:val="both"/>
        <w:rPr/>
      </w:pPr>
      <w:r>
        <w:rPr>
          <w:b w:val="false"/>
          <w:lang w:val="bg-BG"/>
        </w:rPr>
        <w:t xml:space="preserve">Съвременната геронтопсихология има немалки успехи при разкриване на промените, които настъпват в психо-моторната и личностната сфера в третата възраст. Редица изследвания установяват отслабване на различните форми на сетивността поради настъпилите функционални промени в централната нервна система; движенията стават по-трудни, активността намалява, бързо настъпва умората и пр. Очертават се и различни качествени изменения в  интелектуалната дейност. Така например водеща роля в паметовия процес заемат логически смисловите компоненти за сметка на образно-сетивното и механичното запаметяване. Макар че интелектуалната дейност вече е загубила в известна степен своята гъвкавост и бързина, нейният ефект се улеснява от натрупаните през жизнения път знания, от големия запас готови решения в различни проблемни ситуации. </w:t>
      </w:r>
    </w:p>
    <w:p>
      <w:pPr>
        <w:pStyle w:val="Heading3"/>
        <w:numPr>
          <w:ilvl w:val="0"/>
          <w:numId w:val="44"/>
        </w:numPr>
        <w:jc w:val="both"/>
        <w:rPr>
          <w:b w:val="false"/>
          <w:b w:val="false"/>
          <w:lang w:val="bg-BG"/>
        </w:rPr>
      </w:pPr>
      <w:r>
        <w:rPr>
          <w:b w:val="false"/>
          <w:lang w:val="bg-BG"/>
        </w:rPr>
        <w:t>Процесът  на стареенето   се характеризира и с редица личностни промени:  увеличена ригидност, занижена самооценка, увеличена предпазливост при намалена спонтанна активност, засилване на интравертната ориентация и т.н. Същевременно обаче съществуват твърде големи индивидуални различия в сензо-моторното, интелектуалното и особено в личностното развитие на възрастните хора. Насочеността на личността, нейните интереси, ценностни ориентации и нагласи до голяма степен зависят от социалнопсихологическите модели на нейния  индивидуален жизнен път.</w:t>
      </w:r>
    </w:p>
    <w:p>
      <w:pPr>
        <w:pStyle w:val="Heading3"/>
        <w:numPr>
          <w:ilvl w:val="0"/>
          <w:numId w:val="80"/>
        </w:numPr>
        <w:jc w:val="both"/>
        <w:rPr/>
      </w:pPr>
      <w:r>
        <w:rPr>
          <w:b w:val="false"/>
          <w:lang w:val="bg-BG"/>
        </w:rPr>
        <w:t xml:space="preserve">Установява се, че </w:t>
      </w:r>
      <w:r>
        <w:rPr>
          <w:lang w:val="bg-BG"/>
        </w:rPr>
        <w:t>възприемането на психичните промени не е еднозначно</w:t>
      </w:r>
      <w:r>
        <w:rPr>
          <w:b w:val="false"/>
          <w:lang w:val="bg-BG"/>
        </w:rPr>
        <w:t xml:space="preserve">. Личностните промени обикновено не се осъзнават от отделния човек поради защитните функции на самооценката и установената концепция за собственото Аз. Промените обаче в сферите на сетивността, моториката и паметта трудно могат да се игнорират, тъй като се отразяват чувствително върху стила на всекидневната дейност и намаляват нейната ефективност. Така например промените в моториката могат да доведат до понижаване на самочувствието, ако ценностно се свързват с работоспособността и продуктивността на дейността на възрастните. Промените в познавателната сфера твърде често формират нагласа на предпазливост и несигурност - бавно вземане на решение, избягване на риска, намаляване на доверието в собствените решения и пр. </w:t>
      </w:r>
    </w:p>
    <w:p>
      <w:pPr>
        <w:pStyle w:val="Heading3"/>
        <w:numPr>
          <w:ilvl w:val="0"/>
          <w:numId w:val="80"/>
        </w:numPr>
        <w:jc w:val="both"/>
        <w:rPr>
          <w:b w:val="false"/>
          <w:b w:val="false"/>
          <w:lang w:val="bg-BG"/>
        </w:rPr>
      </w:pPr>
      <w:r>
        <w:rPr>
          <w:b w:val="false"/>
          <w:lang w:val="bg-BG"/>
        </w:rPr>
        <w:t xml:space="preserve">Значителна част от изследваните лица посочват, че забелязват промени в психиката (по отношение на слуха, зрението, паметта, работоспособността и т.н.), но не им обръщат внимание. На второ място са лицата, които споделят, че възприеманите промени им влияят в голяма степен, а не трето – онези, които не са забелязали никакви промени. С други думи, възрастните хора дават много по-високи оценки на физическия си статус, т.е. физическото им самочувствие има по-голяма субективна ценност, отколкото конкретните промени в психиката. </w:t>
      </w:r>
    </w:p>
    <w:p>
      <w:pPr>
        <w:pStyle w:val="Heading3"/>
        <w:numPr>
          <w:ilvl w:val="0"/>
          <w:numId w:val="80"/>
        </w:numPr>
        <w:jc w:val="both"/>
        <w:rPr>
          <w:b w:val="false"/>
          <w:b w:val="false"/>
          <w:lang w:val="bg-BG"/>
        </w:rPr>
      </w:pPr>
      <w:r>
        <w:rPr>
          <w:b w:val="false"/>
          <w:lang w:val="bg-BG"/>
        </w:rPr>
        <w:t>Възрастовата динамика на адаптацията към психичните промени показва същата тенденция, както динамиката на физическото самочувствие: с възрастта резистентността към психическите промени намалява, те стават все по-травмиращ и депресиращ фактор в ежедневието на стария човек. И по този показател на самочувствието се забелязва качествена разлика при лицата над 80 г. – засилване на стабилизиращите тенденции в психичното самочувствие в сравнение с възрастовите групи между 66 и 70 години. Тази тенденция обаче не се проявява при хората от старческите домове.</w:t>
      </w:r>
    </w:p>
    <w:p>
      <w:pPr>
        <w:pStyle w:val="Heading3"/>
        <w:numPr>
          <w:ilvl w:val="0"/>
          <w:numId w:val="80"/>
        </w:numPr>
        <w:jc w:val="both"/>
        <w:rPr>
          <w:b w:val="false"/>
          <w:b w:val="false"/>
          <w:lang w:val="bg-BG"/>
        </w:rPr>
      </w:pPr>
      <w:r>
        <w:rPr>
          <w:b w:val="false"/>
          <w:lang w:val="bg-BG"/>
        </w:rPr>
        <w:t xml:space="preserve">По отношение на фактора образование се откроява една по-обща тенденция: насочеността на личността към нова информация и към проблемите на окръжаващия свят, по-широкият й духовен кръгозор препятстват засилването на интравертните тенденции – насочване на личността към себе си, към промените в своя организъм и психика. </w:t>
      </w:r>
    </w:p>
    <w:p>
      <w:pPr>
        <w:pStyle w:val="Heading3"/>
        <w:ind w:left="60" w:firstLine="567"/>
        <w:jc w:val="both"/>
        <w:rPr/>
      </w:pPr>
      <w:r>
        <w:rPr>
          <w:b w:val="false"/>
          <w:lang w:val="bg-BG"/>
        </w:rPr>
        <w:t xml:space="preserve">ІІІ. </w:t>
      </w:r>
      <w:r>
        <w:rPr>
          <w:lang w:val="bg-BG"/>
        </w:rPr>
        <w:t xml:space="preserve">По отношение на чувството, с което се очаква бъдещето </w:t>
      </w:r>
    </w:p>
    <w:p>
      <w:pPr>
        <w:pStyle w:val="Heading3"/>
        <w:numPr>
          <w:ilvl w:val="0"/>
          <w:numId w:val="69"/>
        </w:numPr>
        <w:jc w:val="both"/>
        <w:rPr/>
      </w:pPr>
      <w:r>
        <w:rPr>
          <w:b w:val="false"/>
          <w:lang w:val="bg-BG"/>
        </w:rPr>
        <w:t xml:space="preserve">Чувството, с което се очаква бъдещето (т.нар. проспективно чувство) и тревожността са тясно свързани помежду си, но не се покриват. Тревожността е личностно-психологическа предпоставка за интерпретиране на бъдещето в термините на несигурността и заплахата. По принцип тя не е свързана с конкретен обект и се изразява във вътрешна напрегнатост по отношение на факти и въздействия от широк порядък, нерядко въображаеми. Проспективното чувство има по-определено съдържание и обикновено се предизвиква от конкретни житейски факти и явления, макар че тревожността може да окаже едно или друго влияние на това чувство. </w:t>
      </w:r>
    </w:p>
    <w:p>
      <w:pPr>
        <w:pStyle w:val="Heading3"/>
        <w:numPr>
          <w:ilvl w:val="0"/>
          <w:numId w:val="69"/>
        </w:numPr>
        <w:jc w:val="both"/>
        <w:rPr/>
      </w:pPr>
      <w:r>
        <w:rPr>
          <w:b w:val="false"/>
          <w:lang w:val="bg-BG"/>
        </w:rPr>
        <w:t xml:space="preserve">Установява се, че  около половината от изследваните лица изразяват известно безпокойство за бъдещето. Значителен е делът (на второ място) на хората, които гледат с пълна сигурност и спокойствие на утрешния ден и едва неголяма част споделят своето голямо безпокойство за предстоящите събития. При това сред факторите, които пораждат несигурността и безпокойството пред бъдещето се нареждат: а) социално-политическите фактори, свързани с международното положение; б) т.нар. безпредметни безпокойства (страх от всичко, несигурност и тревога, напрежение и потиснатост и пр.); в) страхът за здравето; г) някои социални явления ( страх от безпаричие, жилищният проблем, поскъпване на живота, ниски пенсии, противообществени прояви на младите, обезценяване на ценностите и пр.); д) признаци, обединени от общото качество страх от смъртта (физическа слабост на старостта, загуба на разсъдък, невъзможност за самообслужване и др.); е) различни страни на отношението към близките, децата и внуците (раздялата с децата, тревогата да не се утежни със старостта положението на близките и пр.); ж) възможни природни бедствия; з) тъга от самотата. Малко по-различно  е ранжирането на тези фактори при лицата от домовете за стари хора: а) страхът за здравето; б) страхът от смъртта; в) тъгата от самотата; г) отношението към близките и децата; д) безпредметните безпокойства и моралните чувства. </w:t>
      </w:r>
    </w:p>
    <w:p>
      <w:pPr>
        <w:pStyle w:val="Heading3"/>
        <w:numPr>
          <w:ilvl w:val="0"/>
          <w:numId w:val="69"/>
        </w:numPr>
        <w:jc w:val="both"/>
        <w:rPr>
          <w:b w:val="false"/>
          <w:b w:val="false"/>
          <w:lang w:val="bg-BG"/>
        </w:rPr>
      </w:pPr>
      <w:r>
        <w:rPr>
          <w:b w:val="false"/>
          <w:lang w:val="bg-BG"/>
        </w:rPr>
        <w:t xml:space="preserve">За разлика от физическото самочувствие и преживяването на промените в психиката проспективното чувство не се модифицира от образователното равнище на изследваните лица. При това отново се наблюдава стаблизиращата тенденция в психичния статус на 80-годишните: силнотревожните за бъдещето в тази група намаляват, а повече от половината попадат в категорията на сигурните и спокойните за утрешните дни. </w:t>
      </w:r>
    </w:p>
    <w:p>
      <w:pPr>
        <w:pStyle w:val="Heading3"/>
        <w:numPr>
          <w:ilvl w:val="0"/>
          <w:numId w:val="69"/>
        </w:numPr>
        <w:jc w:val="both"/>
        <w:rPr/>
      </w:pPr>
      <w:r>
        <w:rPr>
          <w:b w:val="false"/>
          <w:lang w:val="bg-BG"/>
        </w:rPr>
        <w:t>Водещият социално-психологически фактор на увереността и спокойствието в утрешните дни е реализацията на целите в материалното осигуряване. На второ място е реализацията на професионалните цели, а на трето – постигнатите цели в сферата на семейството и децата и в образованието.</w:t>
      </w:r>
    </w:p>
    <w:p>
      <w:pPr>
        <w:pStyle w:val="Heading3"/>
        <w:numPr>
          <w:ilvl w:val="0"/>
          <w:numId w:val="69"/>
        </w:numPr>
        <w:jc w:val="both"/>
        <w:rPr>
          <w:b w:val="false"/>
          <w:b w:val="false"/>
          <w:lang w:val="bg-BG"/>
        </w:rPr>
      </w:pPr>
      <w:r>
        <w:rPr>
          <w:b w:val="false"/>
          <w:lang w:val="bg-BG"/>
        </w:rPr>
        <w:t>Трудовата  реализация също слага своя отпечатък върху проспективното чувство на старите хора. Сред сигурните и спокойните в утрешните дни преобладават тези, които са удовлетворени от своя труд. Тази взаимовръзка се потвърждава и в готовността за извършване на трудова дейност, свързана с оптимистичната нагласа към бъдещето.</w:t>
      </w:r>
    </w:p>
    <w:p>
      <w:pPr>
        <w:pStyle w:val="Heading3"/>
        <w:numPr>
          <w:ilvl w:val="0"/>
          <w:numId w:val="69"/>
        </w:numPr>
        <w:jc w:val="both"/>
        <w:rPr>
          <w:b w:val="false"/>
          <w:b w:val="false"/>
          <w:lang w:val="bg-BG"/>
        </w:rPr>
      </w:pPr>
      <w:r>
        <w:rPr>
          <w:b w:val="false"/>
          <w:lang w:val="bg-BG"/>
        </w:rPr>
        <w:t xml:space="preserve">Установява се, че  проспективното чувство влияе върху оценъчната позиция на възрастните спрямо социално-нравствения облик на младите. Възрастните, които имат тревожна нагласа към  бъдещето, са подчертано по-склонни да оценяват негативно морала на младото поколение в сравнение с морала на тяхното поколение. </w:t>
      </w:r>
    </w:p>
    <w:p>
      <w:pPr>
        <w:pStyle w:val="Heading3"/>
        <w:numPr>
          <w:ilvl w:val="0"/>
          <w:numId w:val="69"/>
        </w:numPr>
        <w:jc w:val="both"/>
        <w:rPr>
          <w:b w:val="false"/>
          <w:b w:val="false"/>
          <w:lang w:val="bg-BG"/>
        </w:rPr>
      </w:pPr>
      <w:r>
        <w:rPr>
          <w:b w:val="false"/>
          <w:lang w:val="bg-BG"/>
        </w:rPr>
        <w:t xml:space="preserve">Съществува взаимовръзка между физическото самочувствие и проспективното чувство. Високото самочувствие повишава самооценката, а ниското я понижава. Подобно е отношението между възприемането на психичните промени и проспективното чувство – успешното адаптиране към настъпващите промени в психичния статус стабилиза оптимистичната нагласа към утрешните дни.    </w:t>
      </w:r>
    </w:p>
    <w:p>
      <w:pPr>
        <w:pStyle w:val="Heading3"/>
        <w:jc w:val="both"/>
        <w:rPr>
          <w:b w:val="false"/>
          <w:b w:val="false"/>
          <w:lang w:val="bg-BG"/>
        </w:rPr>
      </w:pPr>
      <w:r>
        <w:rPr>
          <w:b w:val="false"/>
          <w:lang w:val="bg-BG"/>
        </w:rPr>
      </w:r>
    </w:p>
    <w:p>
      <w:pPr>
        <w:pStyle w:val="Heading3"/>
        <w:jc w:val="both"/>
        <w:rPr/>
      </w:pPr>
      <w:r>
        <w:rPr>
          <w:b w:val="false"/>
          <w:lang w:val="bg-BG"/>
        </w:rPr>
        <w:t xml:space="preserve">ІV. </w:t>
      </w:r>
      <w:r>
        <w:rPr>
          <w:lang w:val="bg-BG"/>
        </w:rPr>
        <w:t>По отношение на равнището на тревожност</w:t>
      </w:r>
      <w:r>
        <w:rPr>
          <w:b w:val="false"/>
          <w:lang w:val="bg-BG"/>
        </w:rPr>
        <w:t xml:space="preserve"> </w:t>
      </w:r>
    </w:p>
    <w:p>
      <w:pPr>
        <w:pStyle w:val="Heading3"/>
        <w:numPr>
          <w:ilvl w:val="0"/>
          <w:numId w:val="45"/>
        </w:numPr>
        <w:jc w:val="both"/>
        <w:rPr/>
      </w:pPr>
      <w:r>
        <w:rPr>
          <w:b w:val="false"/>
          <w:lang w:val="bg-BG"/>
        </w:rPr>
        <w:t xml:space="preserve">Тревожността  се проявява в две основни разновидности: като </w:t>
      </w:r>
      <w:r>
        <w:rPr>
          <w:i/>
          <w:lang w:val="bg-BG"/>
        </w:rPr>
        <w:t>психично състояние</w:t>
      </w:r>
      <w:r>
        <w:rPr>
          <w:b w:val="false"/>
          <w:lang w:val="bg-BG"/>
        </w:rPr>
        <w:t xml:space="preserve"> и като </w:t>
      </w:r>
      <w:r>
        <w:rPr>
          <w:i/>
          <w:lang w:val="bg-BG"/>
        </w:rPr>
        <w:t>трайна личностна характеристика</w:t>
      </w:r>
      <w:r>
        <w:rPr>
          <w:b w:val="false"/>
          <w:i/>
          <w:lang w:val="bg-BG"/>
        </w:rPr>
        <w:t>.</w:t>
      </w:r>
      <w:r>
        <w:rPr>
          <w:lang w:val="bg-BG"/>
        </w:rPr>
        <w:t xml:space="preserve"> </w:t>
      </w:r>
      <w:r>
        <w:rPr>
          <w:b w:val="false"/>
          <w:lang w:val="bg-BG"/>
        </w:rPr>
        <w:t xml:space="preserve">Психичното състояние на тревожност включва сложен комплекс от емоционални, познавателни и поведенчески прояви на безпокойство и тревожно очакване, свързани с актуални събития или значими за личността житейски ситуации. Като трайна личностна черта тревожността формира нагласа (диспозиция) към интерпретиране на широк кръг явления като заплашващи, към предвиждане на неблагоприятен изход от различни въздействия или начинания. В комплекса на личностната тревожност се включват и симптоми на вътрешна напрегнатост (невротизъм), негативно оценяване на собствено Аз, повишена внушаемост. Равнището на тревожност се приема като показател за степента на адаптация на възрастните към условията на живота. Високо тревожните лица са в много по-голяма степен предразположени към стресови реакции на различни въздействия, отколкото лицата с нормална или ниска тревожност. </w:t>
      </w:r>
    </w:p>
    <w:p>
      <w:pPr>
        <w:pStyle w:val="Heading3"/>
        <w:numPr>
          <w:ilvl w:val="0"/>
          <w:numId w:val="45"/>
        </w:numPr>
        <w:jc w:val="both"/>
        <w:rPr>
          <w:lang w:val="bg-BG"/>
        </w:rPr>
      </w:pPr>
      <w:r>
        <w:rPr>
          <w:b w:val="false"/>
          <w:lang w:val="bg-BG"/>
        </w:rPr>
        <w:t xml:space="preserve">Резултатите от различните изследвания на тревожността разкриват противоречиви  тенденции.  Данните за наличието на по-високо равнище на тревожност при старите хора не винаги се потвърждават. Така например в изследване на Р. </w:t>
      </w:r>
      <w:r>
        <w:rPr>
          <w:lang w:val="bg-BG"/>
        </w:rPr>
        <w:t xml:space="preserve">Макдоналд </w:t>
      </w:r>
      <w:r>
        <w:rPr>
          <w:b w:val="false"/>
          <w:lang w:val="bg-BG"/>
        </w:rPr>
        <w:t>върху 1250 възрастни лица между 55 и 75 години и 80 лица между 60 и 80 години са установени значими възрастови различия по показателите “удовлетвореност от живота”, “депресивни настроения” и “ригидност”. По показателите “тревожен статус” и “равнище на тревожност” значими различия се разкриват между двата пола, но не и във възрастов план.</w:t>
      </w:r>
    </w:p>
    <w:p>
      <w:pPr>
        <w:pStyle w:val="Heading3"/>
        <w:numPr>
          <w:ilvl w:val="0"/>
          <w:numId w:val="45"/>
        </w:numPr>
        <w:jc w:val="both"/>
        <w:rPr>
          <w:lang w:val="bg-BG"/>
        </w:rPr>
      </w:pPr>
      <w:r>
        <w:rPr>
          <w:b w:val="false"/>
          <w:lang w:val="bg-BG"/>
        </w:rPr>
        <w:t>Данните от изследването на Ив</w:t>
      </w:r>
      <w:r>
        <w:rPr>
          <w:lang w:val="bg-BG"/>
        </w:rPr>
        <w:t>. Паспаланов</w:t>
      </w:r>
      <w:r>
        <w:rPr>
          <w:b w:val="false"/>
          <w:lang w:val="bg-BG"/>
        </w:rPr>
        <w:t xml:space="preserve">  свидетелстват, че в третата възраст делът на лицата с висока тревожност нараства с възрастта, а намалява делът на лицата с ниска тревожност.  При лицата над 80 години обаче се наблюдава </w:t>
      </w:r>
      <w:r>
        <w:rPr>
          <w:lang w:val="bg-BG"/>
        </w:rPr>
        <w:t xml:space="preserve">флуктуация </w:t>
      </w:r>
      <w:r>
        <w:rPr>
          <w:b w:val="false"/>
          <w:lang w:val="bg-BG"/>
        </w:rPr>
        <w:t xml:space="preserve"> (делът на нискотревожните нараства в сравнение с предхождащите възрастови групи). Няма  съществени различия в скалата за равнищата  на тревожност между лицата от 40 до 50 години (мъже и жени) и лицата в третата възраст. Установява се положителна зависимост между равнището на тревожност на възрастните и самооценката на физическото им състояние – високотревожните преобладават сред лицата с ниско физическо самочувствие, както и между равнището на тревожност и проспективното чувство (високата тревожност слага отпечатък върху осъзнатото преживяване на бъдещето като сигурно или заплашващо). От социално-демографските фактори само образованието повлиява значимо разпределението на ниско и високо тревожните лица: с нарастване на образователното равнище намалява съвкупността на лицата с висока тревожност и се увеличава делът на нетревожните. Взаимната връзка на тревожността със сферата на нагласи (диспозиции) на личността на възрастния човек се проявява и в </w:t>
      </w:r>
      <w:r>
        <w:rPr>
          <w:i/>
          <w:lang w:val="bg-BG"/>
        </w:rPr>
        <w:t>отношението му</w:t>
      </w:r>
      <w:r>
        <w:rPr>
          <w:b w:val="false"/>
          <w:i/>
          <w:lang w:val="bg-BG"/>
        </w:rPr>
        <w:t xml:space="preserve"> </w:t>
      </w:r>
      <w:r>
        <w:rPr>
          <w:i/>
          <w:lang w:val="bg-BG"/>
        </w:rPr>
        <w:t>към общуването</w:t>
      </w:r>
      <w:r>
        <w:rPr>
          <w:b w:val="false"/>
          <w:lang w:val="bg-BG"/>
        </w:rPr>
        <w:t xml:space="preserve"> </w:t>
      </w:r>
      <w:r>
        <w:rPr>
          <w:lang w:val="bg-BG"/>
        </w:rPr>
        <w:t xml:space="preserve"> </w:t>
      </w:r>
      <w:r>
        <w:rPr>
          <w:b w:val="false"/>
          <w:lang w:val="bg-BG"/>
        </w:rPr>
        <w:t xml:space="preserve">с хора от различни поколения. Удовлетвореността от контактите с млади хора преобладава в групата на ниско тревожните. Високотревожните са ориентирани предимно към общуване с връстници. Затварянето в себе си и загубата на вкус към общуването също се засилват със завишаването на тревожността.Тази тенденция убедително показва, че напрегнатият емоционален статус в третата възраст е един от съществените психологически фактори на десоциализацията на възрастните хора и постепенното разграждане на социалните им връзки. </w:t>
      </w:r>
    </w:p>
    <w:p>
      <w:pPr>
        <w:pStyle w:val="Normal"/>
        <w:rPr>
          <w:lang w:val="bg-BG"/>
        </w:rPr>
      </w:pPr>
      <w:r>
        <w:rPr>
          <w:lang w:val="bg-BG"/>
        </w:rPr>
      </w:r>
    </w:p>
    <w:p>
      <w:pPr>
        <w:pStyle w:val="Heading3"/>
        <w:jc w:val="both"/>
        <w:rPr/>
      </w:pPr>
      <w:r>
        <w:rPr>
          <w:b w:val="false"/>
          <w:lang w:val="bg-BG"/>
        </w:rPr>
        <w:t xml:space="preserve">V. </w:t>
      </w:r>
      <w:r>
        <w:rPr>
          <w:lang w:val="bg-BG"/>
        </w:rPr>
        <w:t xml:space="preserve">По отношението към труда и трудовата активност </w:t>
      </w:r>
    </w:p>
    <w:p>
      <w:pPr>
        <w:pStyle w:val="Heading3"/>
        <w:jc w:val="both"/>
        <w:rPr/>
      </w:pPr>
      <w:r>
        <w:rPr>
          <w:b w:val="false"/>
          <w:lang w:val="bg-BG"/>
        </w:rPr>
        <w:t xml:space="preserve">Както посочва Здр. </w:t>
      </w:r>
      <w:r>
        <w:rPr>
          <w:lang w:val="bg-BG"/>
        </w:rPr>
        <w:t>Иванова,</w:t>
      </w:r>
      <w:r>
        <w:rPr>
          <w:b w:val="false"/>
          <w:lang w:val="bg-BG"/>
        </w:rPr>
        <w:t xml:space="preserve"> “при оценка на личностната позиция във връзка с осъществената и търсената трудова активност през третата възраст от значение са тези показатели, които се отнасят до </w:t>
      </w:r>
      <w:r>
        <w:rPr>
          <w:lang w:val="bg-BG"/>
        </w:rPr>
        <w:t>ретроспективната оценка на достигнати</w:t>
      </w:r>
      <w:r>
        <w:rPr>
          <w:b w:val="false"/>
          <w:lang w:val="bg-BG"/>
        </w:rPr>
        <w:t xml:space="preserve"> </w:t>
      </w:r>
      <w:r>
        <w:rPr>
          <w:lang w:val="bg-BG"/>
        </w:rPr>
        <w:t>основни цели</w:t>
      </w:r>
      <w:r>
        <w:rPr>
          <w:b w:val="false"/>
          <w:lang w:val="bg-BG"/>
        </w:rPr>
        <w:t xml:space="preserve"> в досегашния професионален живот, значими събития и преживявания, свързани с трудовата дейност, трудовата удовлетвореност и мястото, което заема трудово-професионалният живот в системата от ценности. Анализът на достигнатата и желаната трудова активност засяга осмислянето на живота след пенсионирането чрез продължаване участието в трудовата и обществената дейност, степен на изявено желание за упражняване на професионална дейност и конкретна форма на реализация, както и самочувствие при трудова неангажираност… В третата възраст очакваме нов тип осмисляне и оценка на собствената професия, нови стимули за трудова дейност, изменена окраска на преживяването на постижения в труда и във връзка с това стремеж за запазване на социалния престиж и личната удовлетвореност”(57, с. 142). </w:t>
      </w:r>
    </w:p>
    <w:p>
      <w:pPr>
        <w:pStyle w:val="Heading3"/>
        <w:jc w:val="both"/>
        <w:rPr>
          <w:b w:val="false"/>
          <w:b w:val="false"/>
          <w:lang w:val="bg-BG"/>
        </w:rPr>
      </w:pPr>
      <w:r>
        <w:rPr>
          <w:b w:val="false"/>
          <w:lang w:val="bg-BG"/>
        </w:rPr>
        <w:t xml:space="preserve">От проведеното от авторката изследване могат да се направят следните по-обобщени изводи (с. 143-173): </w:t>
      </w:r>
    </w:p>
    <w:p>
      <w:pPr>
        <w:pStyle w:val="Heading3"/>
        <w:numPr>
          <w:ilvl w:val="0"/>
          <w:numId w:val="42"/>
        </w:numPr>
        <w:jc w:val="both"/>
        <w:rPr/>
      </w:pPr>
      <w:r>
        <w:rPr>
          <w:b w:val="false"/>
          <w:lang w:val="bg-BG"/>
        </w:rPr>
        <w:t xml:space="preserve">Около половината от анкетираните преценяват, че са достигнали изцяло това, което са очаквали от професионалния живот. Съществени различия в зависимост от пола и възрастовите фази не се очертават. Проличава леко изразена тенденция за намаляване на ретроспективните оценки за пълноценно реализиране чрез професията с увеличаване на възрастта, главно след 70 години. На второ място се нареждат лицата, които преценяват, че са реализирани само частично професионалните си цели, а най-малка е групата на тези, според които професионалните им цели са неосъществени. При това колкото е по-високо образованието, толкова по-честа е оценката за пълно или частично осъществяване на професионалните цели. </w:t>
      </w:r>
    </w:p>
    <w:p>
      <w:pPr>
        <w:pStyle w:val="Heading3"/>
        <w:numPr>
          <w:ilvl w:val="0"/>
          <w:numId w:val="42"/>
        </w:numPr>
        <w:jc w:val="both"/>
        <w:rPr>
          <w:b w:val="false"/>
          <w:b w:val="false"/>
          <w:i/>
          <w:i/>
          <w:lang w:val="bg-BG"/>
        </w:rPr>
      </w:pPr>
      <w:r>
        <w:rPr>
          <w:b w:val="false"/>
          <w:lang w:val="bg-BG"/>
        </w:rPr>
        <w:t xml:space="preserve">Твърде важно е какво място заема </w:t>
      </w:r>
      <w:r>
        <w:rPr>
          <w:lang w:val="bg-BG"/>
        </w:rPr>
        <w:t>професионалната дейност</w:t>
      </w:r>
      <w:r>
        <w:rPr>
          <w:b w:val="false"/>
          <w:lang w:val="bg-BG"/>
        </w:rPr>
        <w:t xml:space="preserve"> при оценката на</w:t>
      </w:r>
      <w:r>
        <w:rPr>
          <w:lang w:val="bg-BG"/>
        </w:rPr>
        <w:t xml:space="preserve"> </w:t>
      </w:r>
      <w:r>
        <w:rPr>
          <w:b w:val="false"/>
          <w:lang w:val="bg-BG"/>
        </w:rPr>
        <w:t xml:space="preserve">жизнените цели. Тези, които са достигнали до пълно осъществяване на основните цели поставят на първо място професионалната дейност, на второ място – семейството, на трето място – образованието, на четвърто място – обществено-политическата дейност и на пето място – материалната осигуреност. По-друго е ранжирането при лица, които само в известна степен са осъществили своите цели, а именно: материална осигуреност, обществено-политически живот, образование, семейство и на последно място – професионална дейност.  </w:t>
      </w:r>
    </w:p>
    <w:p>
      <w:pPr>
        <w:pStyle w:val="Heading3"/>
        <w:numPr>
          <w:ilvl w:val="0"/>
          <w:numId w:val="42"/>
        </w:numPr>
        <w:jc w:val="both"/>
        <w:rPr>
          <w:b w:val="false"/>
          <w:b w:val="false"/>
          <w:i/>
          <w:i/>
          <w:lang w:val="bg-BG"/>
        </w:rPr>
      </w:pPr>
      <w:r>
        <w:rPr>
          <w:b w:val="false"/>
          <w:lang w:val="bg-BG"/>
        </w:rPr>
        <w:t xml:space="preserve">Съществува положителна корелация между високите степени на осъществяване на професионалната дейност и удовлетвореността от участието в обществено-политическа дейност.  Сравнително висока е и корелационната зависимост между степента на осъществяване на професионални цели и степента на   удовлетвореност от изпълняваната трудова дейност през жизнения път преди пенсионирането. Установява се, че материалната осигуреност се свързва най-често и с преценка на удовлетвореност от труда и, обратното, незадоволителната  материална осигуреност корелира по-често с неудовлетвореност от труда. Важна роля в професионалната реализация играе личностният фактор. Повече от половината от изследваните посочват решаващото значение на личностните качества за пълно осъществяване на професионалните си цели. </w:t>
      </w:r>
    </w:p>
    <w:p>
      <w:pPr>
        <w:pStyle w:val="Heading3"/>
        <w:numPr>
          <w:ilvl w:val="0"/>
          <w:numId w:val="42"/>
        </w:numPr>
        <w:jc w:val="both"/>
        <w:rPr>
          <w:b w:val="false"/>
          <w:b w:val="false"/>
          <w:i/>
          <w:i/>
          <w:lang w:val="bg-BG"/>
        </w:rPr>
      </w:pPr>
      <w:r>
        <w:rPr>
          <w:b w:val="false"/>
          <w:lang w:val="bg-BG"/>
        </w:rPr>
        <w:t xml:space="preserve">Оценъчното отношение към събития, свързани с професионалния живот, е подчертано зависимо от нивото на образованието на изследваните. Най-значимите събития в живота се свързват с трудовите успехи при тези хора, които имат по-високо образование. Удовлетвореността от труда в повечето случаи се свързва с професионалния успех и се отчита като значимо индивидуално преживяване. </w:t>
      </w:r>
    </w:p>
    <w:p>
      <w:pPr>
        <w:pStyle w:val="Heading3"/>
        <w:numPr>
          <w:ilvl w:val="0"/>
          <w:numId w:val="42"/>
        </w:numPr>
        <w:jc w:val="both"/>
        <w:rPr>
          <w:b w:val="false"/>
          <w:b w:val="false"/>
          <w:i/>
          <w:i/>
          <w:lang w:val="bg-BG"/>
        </w:rPr>
      </w:pPr>
      <w:r>
        <w:rPr>
          <w:b w:val="false"/>
          <w:lang w:val="bg-BG"/>
        </w:rPr>
        <w:t xml:space="preserve">В третата възраст отношението към </w:t>
      </w:r>
      <w:r>
        <w:rPr>
          <w:lang w:val="bg-BG"/>
        </w:rPr>
        <w:t>ценностите, определящи смисъла на</w:t>
      </w:r>
      <w:r>
        <w:rPr>
          <w:b w:val="false"/>
          <w:lang w:val="bg-BG"/>
        </w:rPr>
        <w:t xml:space="preserve"> </w:t>
      </w:r>
      <w:r>
        <w:rPr>
          <w:lang w:val="bg-BG"/>
        </w:rPr>
        <w:t>живота</w:t>
      </w:r>
      <w:r>
        <w:rPr>
          <w:b w:val="false"/>
          <w:lang w:val="bg-BG"/>
        </w:rPr>
        <w:t>, е ориентирано на първо място към здравето и жизнеността, семейното щастие, уважението и признанието от страна на другите хора, както и приятелството. След това се очертава вторият ранг ценностна ориентировка, свързана с творческия принос в работата, материално благополучие, професионална кариера и обществено положение.</w:t>
      </w:r>
    </w:p>
    <w:p>
      <w:pPr>
        <w:pStyle w:val="Heading3"/>
        <w:numPr>
          <w:ilvl w:val="0"/>
          <w:numId w:val="42"/>
        </w:numPr>
        <w:jc w:val="both"/>
        <w:rPr>
          <w:b w:val="false"/>
          <w:b w:val="false"/>
          <w:i/>
          <w:i/>
          <w:lang w:val="bg-BG"/>
        </w:rPr>
      </w:pPr>
      <w:r>
        <w:rPr>
          <w:b w:val="false"/>
          <w:lang w:val="bg-BG"/>
        </w:rPr>
        <w:t>Ретроспективната оценка на удовлетвореността от изминатия трудово-професионален път дава отражение и върху настоящата оценка за смисъла на живота и личностната позиция, свързана с настъпващите възрастови особености. Удовлетвореността от труда (пълна и частична) влияе върху по-нататъшното ориентиране след пенсионирането към такава дейност, която ще принесе материална и морална полза за другите (І), ще осигури лично здраве и дълголетие (ІІ) и ще даде осмисленост чрез по-нататъшно участие в трудова дейност (ІІІ). Но и при трудова неудовлетвореност смисълът на живота също се търси в материален и морален принос за другите хора и в запазване на здравето и осъществяване на дълголетие, обаче два пъти по-рядко се търси смисълът на живота в активна трудова дейност.</w:t>
      </w:r>
    </w:p>
    <w:p>
      <w:pPr>
        <w:pStyle w:val="Heading3"/>
        <w:numPr>
          <w:ilvl w:val="0"/>
          <w:numId w:val="42"/>
        </w:numPr>
        <w:jc w:val="both"/>
        <w:rPr>
          <w:b w:val="false"/>
          <w:b w:val="false"/>
          <w:i/>
          <w:i/>
          <w:lang w:val="bg-BG"/>
        </w:rPr>
      </w:pPr>
      <w:r>
        <w:rPr>
          <w:b w:val="false"/>
          <w:lang w:val="bg-BG"/>
        </w:rPr>
        <w:t xml:space="preserve">Обособяват се два основни типа </w:t>
      </w:r>
      <w:r>
        <w:rPr>
          <w:lang w:val="bg-BG"/>
        </w:rPr>
        <w:t>жизнена позиция</w:t>
      </w:r>
      <w:r>
        <w:rPr>
          <w:b w:val="false"/>
          <w:lang w:val="bg-BG"/>
        </w:rPr>
        <w:t xml:space="preserve"> във връзка с осъществяваната в предхождащия възрастов период трудово-професионална дейност. Сравнително голяма е групата на тези, които смятат, че са постигнали своите професионални цели. За тях е характерно, че в системата от жизнени цели професионалната дейност заема водещо място. Те отдават много голямо значение на професионалната си кариера, на различните ситуации в живота, свързани преди всичко с трудовата дейност. Другата група включва сравнително малък контингент – това са предимно тези възрастни хора, които не са осъществили своите професионални цели. При тях в системата на жизнените цели професионалната дейност заема последно място. Неосъществените професионални цели водят не само до непълно изявена трудова активност, но и до трудова неудовлетвореност. Този тип хора недооценяват мястото и ролята на трудовите успехи в живота на човека, което е особено типично за онези от тях, които имат ниска степен на образованост. Това определя навлизането в третата възраст с чувство на неудовлетвореност. След пенсионирането може да настъпи известно объркване на социалните роли, свързано със затруднена адаптация. </w:t>
      </w:r>
    </w:p>
    <w:p>
      <w:pPr>
        <w:pStyle w:val="Heading3"/>
        <w:numPr>
          <w:ilvl w:val="0"/>
          <w:numId w:val="42"/>
        </w:numPr>
        <w:jc w:val="both"/>
        <w:rPr>
          <w:b w:val="false"/>
          <w:b w:val="false"/>
          <w:i/>
          <w:i/>
          <w:lang w:val="bg-BG"/>
        </w:rPr>
      </w:pPr>
      <w:r>
        <w:rPr>
          <w:lang w:val="bg-BG"/>
        </w:rPr>
        <w:t>Смисълът на живота</w:t>
      </w:r>
      <w:r>
        <w:rPr>
          <w:b w:val="false"/>
          <w:lang w:val="bg-BG"/>
        </w:rPr>
        <w:t xml:space="preserve"> на човека през третата възраст се търси на първо място в материалната и моралната полезност, на второ място – в стремежа за запазване на здравето и достигане на дълголетие, на трето място – в участието в трудовата и обществената дейности на четвърто място – в заслужената почивка след дългогодишния труд. Високата степен на образованост води до по-ясна изява на осмисляне на настоящия живот чрез продължаване участието в трудова и обществена дейност. От съществено значение са промените в самочувствието на пенсионерите при невъзможност да си намерят работа. Около една трета от тези, които виждат смисъла на живота в трудовата и обществената дейност, при невъзможност да се включат в такава дейност, споделят, че ще се чувстват ненужни; приблизително такъв е и делът на посочилите, че за тях животът ще изгуби смисъл. Но съществува и група пенсионери, макар и не много голяма, за които невъзможността да си намерят работа се приема като заслужена почивка или като възможност да се отдадат на любимите си занимания. Тези, които приемат трудовата неангажираност като възможност да отделят време за любимите си занимания, обикновено имат по-висока степен на образование.</w:t>
      </w:r>
    </w:p>
    <w:p>
      <w:pPr>
        <w:pStyle w:val="Heading3"/>
        <w:numPr>
          <w:ilvl w:val="0"/>
          <w:numId w:val="42"/>
        </w:numPr>
        <w:jc w:val="both"/>
        <w:rPr>
          <w:b w:val="false"/>
          <w:b w:val="false"/>
          <w:i/>
          <w:i/>
          <w:lang w:val="bg-BG"/>
        </w:rPr>
      </w:pPr>
      <w:r>
        <w:rPr>
          <w:b w:val="false"/>
          <w:lang w:val="bg-BG"/>
        </w:rPr>
        <w:t xml:space="preserve">Около една трета от анкетираните изявяват </w:t>
      </w:r>
      <w:r>
        <w:rPr>
          <w:lang w:val="bg-BG"/>
        </w:rPr>
        <w:t>желание</w:t>
      </w:r>
      <w:r>
        <w:rPr>
          <w:b w:val="false"/>
          <w:lang w:val="bg-BG"/>
        </w:rPr>
        <w:t xml:space="preserve"> за включване в </w:t>
      </w:r>
      <w:r>
        <w:rPr>
          <w:lang w:val="bg-BG"/>
        </w:rPr>
        <w:t>трудова дейност</w:t>
      </w:r>
      <w:r>
        <w:rPr>
          <w:b w:val="false"/>
          <w:lang w:val="bg-BG"/>
        </w:rPr>
        <w:t xml:space="preserve">, независимо дали те живеят в семейни условия или в интернат. Повече от една трета нямат желание да упражняват трудова дейност, като за живеещите в интернатите този процент е значително по-висок (около 50 %). При това по-голяма готовност да се откажат от професионална дейност изявяват тези жени, които живеят в условията на семейството. С увеличаване на възрастта, главно след 65 години намалява желанието за упражняване на трудова дейност,  което рязко е  изразено след 70 години.  </w:t>
      </w:r>
    </w:p>
    <w:p>
      <w:pPr>
        <w:pStyle w:val="Heading3"/>
        <w:numPr>
          <w:ilvl w:val="0"/>
          <w:numId w:val="42"/>
        </w:numPr>
        <w:jc w:val="both"/>
        <w:rPr>
          <w:b w:val="false"/>
          <w:b w:val="false"/>
          <w:i/>
          <w:i/>
          <w:lang w:val="bg-BG"/>
        </w:rPr>
      </w:pPr>
      <w:r>
        <w:rPr>
          <w:b w:val="false"/>
          <w:lang w:val="bg-BG"/>
        </w:rPr>
        <w:t>Възрастовата динамика показва естествен процес на включване в трудова дейност през началната (55-60 г.) и средната (61-65 г.) фаза на следпенсионната възраст, за да намалее в по-късната (66-70  г.) възрастова фаза и да намери израз само в единични случаи след 70 години.</w:t>
      </w:r>
    </w:p>
    <w:p>
      <w:pPr>
        <w:pStyle w:val="Heading3"/>
        <w:numPr>
          <w:ilvl w:val="0"/>
          <w:numId w:val="42"/>
        </w:numPr>
        <w:jc w:val="both"/>
        <w:rPr>
          <w:b w:val="false"/>
          <w:b w:val="false"/>
          <w:i/>
          <w:i/>
          <w:lang w:val="bg-BG"/>
        </w:rPr>
      </w:pPr>
      <w:r>
        <w:rPr>
          <w:b w:val="false"/>
          <w:lang w:val="bg-BG"/>
        </w:rPr>
        <w:t xml:space="preserve">Когато в своя жизнен път личността е осъществила  изцяло или в известна степен своите основни цели, в професионалната дейност се наблюдава ясно или частично изразено желание за работа след пенсиониране при около две трети от анкетираните. Освен това търсенето на трудова дейност след пенсионирането се обвързва с две противоположни ценностни ориентировки – творчески принос в работата и материална осигуреност. При невъзможност да бъдат ангажирани в някакъв вид труд около една трета от изследваните преценяват, че се чувстват ненужни. Това е по-характерно за възрастовите фази до 70 години и по-рядко се  изявява над 70 години. </w:t>
      </w:r>
    </w:p>
    <w:p>
      <w:pPr>
        <w:pStyle w:val="Heading3"/>
        <w:numPr>
          <w:ilvl w:val="0"/>
          <w:numId w:val="42"/>
        </w:numPr>
        <w:jc w:val="both"/>
        <w:rPr>
          <w:b w:val="false"/>
          <w:b w:val="false"/>
          <w:i/>
          <w:i/>
          <w:lang w:val="bg-BG"/>
        </w:rPr>
      </w:pPr>
      <w:r>
        <w:rPr>
          <w:b w:val="false"/>
          <w:lang w:val="bg-BG"/>
        </w:rPr>
        <w:t>Психичната готовност за труд в този възрастов период зависи до голяма степен от редица обективни и субективни фактори. Установява се, че решаваща роля имат личните качества и амбиции. Положителната готовност за участие в трудова и обществена дейност е характерна за по-голямата част от изследваните в този възрастов период. Установяват се значителни полови различия в степента на изразеност на желанието за труд, които се определят главно от ролевата функция на мъжа и жената в семейството и обществото.</w:t>
      </w:r>
    </w:p>
    <w:p>
      <w:pPr>
        <w:pStyle w:val="Heading1"/>
        <w:rPr/>
      </w:pPr>
      <w:bookmarkStart w:id="31" w:name="__RefHeading___Toc89859692"/>
      <w:r>
        <w:rPr/>
        <w:t xml:space="preserve">ОСМА ТЕМА </w:t>
      </w:r>
      <w:r>
        <w:rPr>
          <w:lang w:val="en-US"/>
        </w:rPr>
        <w:br/>
      </w:r>
      <w:r>
        <w:rPr/>
        <w:t>ОБЩУВАНЕТО  В  ТРЕТАТА ВЪЗРАСТ</w:t>
      </w:r>
      <w:bookmarkEnd w:id="31"/>
      <w:r>
        <w:rPr/>
        <w:t xml:space="preserve"> </w:t>
      </w:r>
    </w:p>
    <w:p>
      <w:pPr>
        <w:pStyle w:val="Heading2"/>
        <w:rPr/>
      </w:pPr>
      <w:bookmarkStart w:id="32" w:name="__RefHeading___Toc89859693"/>
      <w:bookmarkEnd w:id="32"/>
      <w:r>
        <w:rPr/>
        <w:t>8.1.  За  социалната същност на общуването</w:t>
      </w:r>
    </w:p>
    <w:p>
      <w:pPr>
        <w:pStyle w:val="Heading3"/>
        <w:jc w:val="both"/>
        <w:rPr/>
      </w:pPr>
      <w:r>
        <w:rPr>
          <w:b w:val="false"/>
          <w:lang w:val="bg-BG"/>
        </w:rPr>
        <w:t xml:space="preserve">През последните десетилетия </w:t>
      </w:r>
      <w:r>
        <w:rPr>
          <w:lang w:val="bg-BG"/>
        </w:rPr>
        <w:t>интересът към проблемите на общуването</w:t>
      </w:r>
      <w:r>
        <w:rPr>
          <w:b w:val="false"/>
          <w:lang w:val="bg-BG"/>
        </w:rPr>
        <w:t xml:space="preserve"> значително нараства. То е същностна характеристика на човешкия род, негова “извечна” потребност. Общуването е сложен социален феномен, който е иманентно присъщ на всички човешки дейности. Човек се формира като личност благодарение на общуването със себеподобните. По думите на Антоан дьо Сент Екзюпери единственият истински разкош е разкошът от човешкото общуване. То е градивен елемент на всяка общност. Историята на човешкото общество по своята същност е история на непрекъснато усъвършенстване на процесите и формите на общуване. </w:t>
      </w:r>
    </w:p>
    <w:p>
      <w:pPr>
        <w:pStyle w:val="Heading3"/>
        <w:jc w:val="both"/>
        <w:rPr/>
      </w:pPr>
      <w:r>
        <w:rPr>
          <w:b w:val="false"/>
          <w:lang w:val="bg-BG"/>
        </w:rPr>
        <w:t xml:space="preserve">Независимо от богатата литература по проблемите на общуването при изясняване на неговата </w:t>
      </w:r>
      <w:r>
        <w:rPr>
          <w:lang w:val="bg-BG"/>
        </w:rPr>
        <w:t>същност</w:t>
      </w:r>
      <w:r>
        <w:rPr>
          <w:b w:val="false"/>
          <w:lang w:val="bg-BG"/>
        </w:rPr>
        <w:t xml:space="preserve"> и </w:t>
      </w:r>
      <w:r>
        <w:rPr>
          <w:lang w:val="bg-BG"/>
        </w:rPr>
        <w:t>структура</w:t>
      </w:r>
      <w:r>
        <w:rPr>
          <w:b w:val="false"/>
          <w:lang w:val="bg-BG"/>
        </w:rPr>
        <w:t xml:space="preserve"> няма пълно единство между учените. Едни автори разглеждат общуването преди всичко като необходимо условие за извършване на различни видове дейност, а други – като самостоятелен вид дейност. Някои изследователи пък разглеждат самата дейност (в която общуването е определена страна) като условие за общуване. Има и схващания, според които опитите да се свежда категорията “общуване” към категорията “дейност” не са оправдани, т.е. общуването и дейността се разглеждат като относително самостоятелни категории, без да се противопоставят една на друга. Общуването е специфична “проява” на социалната същност на човека. То лежи в основата на взаиморазбирането, самопознанието и приемствеността. Общуването е един от начините на човешката жизнедейност. То е специфична форма на взаимодействие на човека с другите хора. Чрез него се осъществява самопознанието, саморазвитието, цялостното формиране на личността. У животните не възниква потребност от общуване, тъй като то им е дадено пряко от природата. При хората благодарение на труда и на продуктите от него непосредственото общуване се нарушава, т.е. чисто биологически-телесните отношения се заменят с обществено-исторически, които се изграждат върху основата на трудовата дейност. </w:t>
      </w:r>
    </w:p>
    <w:p>
      <w:pPr>
        <w:pStyle w:val="Heading3"/>
        <w:jc w:val="both"/>
        <w:rPr/>
      </w:pPr>
      <w:r>
        <w:rPr>
          <w:b w:val="false"/>
          <w:lang w:val="bg-BG"/>
        </w:rPr>
        <w:t xml:space="preserve">В съвременното общество </w:t>
      </w:r>
      <w:r>
        <w:rPr>
          <w:lang w:val="bg-BG"/>
        </w:rPr>
        <w:t>различните форми</w:t>
      </w:r>
      <w:r>
        <w:rPr>
          <w:b w:val="false"/>
          <w:lang w:val="bg-BG"/>
        </w:rPr>
        <w:t xml:space="preserve"> на екзистенциалното (всекидневното) и на официалното общуване са важен елемент на човешката жизнедейност, необходимо условие  за социализацията на всеки индивид. Чрез общуването и в  процеса на общуването човек опознава не само другите, а и самия себе си. Благодарение на общуването той придобива способност да се отнася към себе си като към “друг”, а към другия – като към себе си. Потребността от общуване възниква още в най-ранните години на онтогенеза и непрекъснато се модифицира, издига се на по-високи равнища, като все повече се усложнява и диференцира през целия период на социализацията на индивида. В процеса на дейността и</w:t>
      </w:r>
      <w:r>
        <w:rPr>
          <w:lang w:val="bg-BG"/>
        </w:rPr>
        <w:t xml:space="preserve"> </w:t>
      </w:r>
      <w:r>
        <w:rPr>
          <w:b w:val="false"/>
          <w:lang w:val="bg-BG"/>
        </w:rPr>
        <w:t xml:space="preserve">общуването се формират и развиват всички негови психични и социални качества, изгражда се неговата личност. </w:t>
      </w:r>
    </w:p>
    <w:p>
      <w:pPr>
        <w:pStyle w:val="Heading3"/>
        <w:jc w:val="both"/>
        <w:rPr/>
      </w:pPr>
      <w:r>
        <w:rPr>
          <w:b w:val="false"/>
          <w:lang w:val="bg-BG"/>
        </w:rPr>
        <w:t xml:space="preserve">В условията на </w:t>
      </w:r>
      <w:r>
        <w:rPr>
          <w:lang w:val="bg-BG"/>
        </w:rPr>
        <w:t>хуманизиране</w:t>
      </w:r>
      <w:r>
        <w:rPr>
          <w:b w:val="false"/>
          <w:lang w:val="bg-BG"/>
        </w:rPr>
        <w:t xml:space="preserve"> и </w:t>
      </w:r>
      <w:r>
        <w:rPr>
          <w:lang w:val="bg-BG"/>
        </w:rPr>
        <w:t>демократизиране</w:t>
      </w:r>
      <w:r>
        <w:rPr>
          <w:b w:val="false"/>
          <w:lang w:val="bg-BG"/>
        </w:rPr>
        <w:t xml:space="preserve"> на нашето общество въпросите за общуването придобиват особена актуалност. Общуването е изключително широкообхватен процес, който обхваща взаимодействието между различните социални групи; между социалната група и личността, както и между отделните личности. Създават се реални възможности за разширяване на сферите на общуване между всички членове на обществото. Интензивното развитие на средствата за масова комуникация оказва все по-голямо влияние върху съдържанието и формите на общуването между хората. То е много важен фактор за постигане на вътрешна сплотеност, за единение, единомислие и единодействие между личността и обществото. В процеса на общуването се осъществява активен обмен на информация между партньорите, който е основа на взаимодействието, взаимовръзката и взаимовлиянието помежду им. В етносоциален план общуването играе голяма роля за формиране на единна психика, на общи чувства, на еднакви характерологични черти. Разграничават се различни </w:t>
      </w:r>
      <w:r>
        <w:rPr>
          <w:lang w:val="bg-BG"/>
        </w:rPr>
        <w:t>видове общуване</w:t>
      </w:r>
      <w:r>
        <w:rPr>
          <w:b w:val="false"/>
          <w:lang w:val="bg-BG"/>
        </w:rPr>
        <w:t xml:space="preserve">: </w:t>
      </w:r>
    </w:p>
    <w:p>
      <w:pPr>
        <w:pStyle w:val="Heading3"/>
        <w:jc w:val="both"/>
        <w:rPr/>
      </w:pPr>
      <w:r>
        <w:rPr>
          <w:b w:val="false"/>
          <w:lang w:val="bg-BG"/>
        </w:rPr>
        <w:t xml:space="preserve">По своя характер и насоченост общуването бива </w:t>
      </w:r>
      <w:r>
        <w:rPr>
          <w:i/>
          <w:lang w:val="bg-BG"/>
        </w:rPr>
        <w:t>делово (формално,</w:t>
      </w:r>
      <w:r>
        <w:rPr>
          <w:lang w:val="bg-BG"/>
        </w:rPr>
        <w:t xml:space="preserve"> </w:t>
      </w:r>
      <w:r>
        <w:rPr>
          <w:i/>
          <w:lang w:val="bg-BG"/>
        </w:rPr>
        <w:t>официално</w:t>
      </w:r>
      <w:r>
        <w:rPr>
          <w:b w:val="false"/>
          <w:i/>
          <w:lang w:val="bg-BG"/>
        </w:rPr>
        <w:t>,</w:t>
      </w:r>
      <w:r>
        <w:rPr>
          <w:b w:val="false"/>
          <w:lang w:val="bg-BG"/>
        </w:rPr>
        <w:t xml:space="preserve"> </w:t>
      </w:r>
      <w:r>
        <w:rPr>
          <w:i/>
          <w:lang w:val="bg-BG"/>
        </w:rPr>
        <w:t>формално-ролево</w:t>
      </w:r>
      <w:r>
        <w:rPr>
          <w:b w:val="false"/>
          <w:lang w:val="bg-BG"/>
        </w:rPr>
        <w:t xml:space="preserve"> и пр.), осъществяващо се в рамките и по повод  на определена съвместна  предметна дейност, и </w:t>
      </w:r>
      <w:r>
        <w:rPr>
          <w:i/>
          <w:lang w:val="bg-BG"/>
        </w:rPr>
        <w:t xml:space="preserve">личностно </w:t>
      </w:r>
      <w:r>
        <w:rPr>
          <w:b w:val="false"/>
          <w:lang w:val="bg-BG"/>
        </w:rPr>
        <w:t>(</w:t>
      </w:r>
      <w:r>
        <w:rPr>
          <w:i/>
          <w:lang w:val="bg-BG"/>
        </w:rPr>
        <w:t>свободно, неформално</w:t>
      </w:r>
      <w:r>
        <w:rPr>
          <w:b w:val="false"/>
          <w:lang w:val="bg-BG"/>
        </w:rPr>
        <w:t xml:space="preserve">,  </w:t>
      </w:r>
      <w:r>
        <w:rPr>
          <w:i/>
          <w:lang w:val="bg-BG"/>
        </w:rPr>
        <w:t>неофициално</w:t>
      </w:r>
      <w:r>
        <w:rPr>
          <w:b w:val="false"/>
          <w:lang w:val="bg-BG"/>
        </w:rPr>
        <w:t xml:space="preserve"> и пр.). Обикновено деловото общуване се осъществява на основата на т.нар. субект-обектни взаимоотношения, а личностното – на основата на субект-субектните взаимоотношения. Между тези два основни типа общуване съществува много тясна връзка. В редица случаи те взаимно се допълват и дори се преплитат. Деловото общуване отразява наличието на делови, функционални, комуникативни връзки между партньорите в процеса на съвместната дейност. В това свое значение общуването е необходима страна, атрибут, предпоставка, компонент на дейността, способ за нейната организация, характеризиращ реалните актове на взаимодействие и контактуване между индивидите в процеса на различните видове дейност. При личностното общуване значим момент е, че мястото на обекта, организиращ общуването в съвместната дейност, заема субектът, т.е.  субект-субектните взаимоотношения са в  основата на този вид общуване.</w:t>
      </w:r>
    </w:p>
    <w:p>
      <w:pPr>
        <w:pStyle w:val="Heading3"/>
        <w:jc w:val="both"/>
        <w:rPr/>
      </w:pPr>
      <w:r>
        <w:rPr>
          <w:b w:val="false"/>
          <w:lang w:val="bg-BG"/>
        </w:rPr>
        <w:t xml:space="preserve">В зависимост от целесъобразността на постигания ефект общуването бива: а) </w:t>
      </w:r>
      <w:r>
        <w:rPr>
          <w:i/>
          <w:lang w:val="bg-BG"/>
        </w:rPr>
        <w:t>необходимо общуване</w:t>
      </w:r>
      <w:r>
        <w:rPr>
          <w:b w:val="false"/>
          <w:lang w:val="bg-BG"/>
        </w:rPr>
        <w:t xml:space="preserve">, без което съвместната дейност е практически невъзможна или се свежда до най-елементарни действия; б) </w:t>
      </w:r>
      <w:r>
        <w:rPr>
          <w:i/>
          <w:lang w:val="bg-BG"/>
        </w:rPr>
        <w:t>желателно общуване</w:t>
      </w:r>
      <w:r>
        <w:rPr>
          <w:b w:val="false"/>
          <w:lang w:val="bg-BG"/>
        </w:rPr>
        <w:t xml:space="preserve">, което благоприятства за по-успешно решаване на задачите на съвместната дейност; в) </w:t>
      </w:r>
      <w:r>
        <w:rPr>
          <w:i/>
          <w:lang w:val="bg-BG"/>
        </w:rPr>
        <w:t>неутрално общуване</w:t>
      </w:r>
      <w:r>
        <w:rPr>
          <w:b w:val="false"/>
          <w:lang w:val="bg-BG"/>
        </w:rPr>
        <w:t xml:space="preserve">, което по същество не пречи, но и не помага за решаване на задачите на съвместната дейност; г) </w:t>
      </w:r>
      <w:r>
        <w:rPr>
          <w:i/>
          <w:lang w:val="bg-BG"/>
        </w:rPr>
        <w:t>нежелателно общуване</w:t>
      </w:r>
      <w:r>
        <w:rPr>
          <w:b w:val="false"/>
          <w:lang w:val="bg-BG"/>
        </w:rPr>
        <w:t xml:space="preserve">, което води до едни или други затруднения при решаване на задачите на съвместната дейност. </w:t>
      </w:r>
    </w:p>
    <w:p>
      <w:pPr>
        <w:pStyle w:val="Heading3"/>
        <w:jc w:val="both"/>
        <w:rPr/>
      </w:pPr>
      <w:r>
        <w:rPr>
          <w:b w:val="false"/>
          <w:lang w:val="bg-BG"/>
        </w:rPr>
        <w:t xml:space="preserve">С оглед на  статуса на общуващите помежду си общуването се разделя на </w:t>
      </w:r>
      <w:r>
        <w:rPr>
          <w:i/>
          <w:lang w:val="bg-BG"/>
        </w:rPr>
        <w:t>симетрично</w:t>
      </w:r>
      <w:r>
        <w:rPr>
          <w:b w:val="false"/>
          <w:i/>
          <w:lang w:val="bg-BG"/>
        </w:rPr>
        <w:t xml:space="preserve"> (</w:t>
      </w:r>
      <w:r>
        <w:rPr>
          <w:i/>
          <w:lang w:val="bg-BG"/>
        </w:rPr>
        <w:t xml:space="preserve">равноправно) и асиметрично (съподчинено). </w:t>
      </w:r>
      <w:r>
        <w:rPr>
          <w:b w:val="false"/>
          <w:lang w:val="bg-BG"/>
        </w:rPr>
        <w:t xml:space="preserve">Първият вид общуване се характеризира с това, че партньорите непрекъснато менят ролите си на субект и обект, а при втория вид общуване едната от общуващите страни е субект и въздейства, а другата изпълнява ролята на обект и търпи въздействие. </w:t>
      </w:r>
    </w:p>
    <w:p>
      <w:pPr>
        <w:pStyle w:val="Heading3"/>
        <w:jc w:val="both"/>
        <w:rPr/>
      </w:pPr>
      <w:r>
        <w:rPr>
          <w:b w:val="false"/>
          <w:lang w:val="bg-BG"/>
        </w:rPr>
        <w:t xml:space="preserve">В зависимост от характера на връзките между партньорите общуването бива </w:t>
      </w:r>
      <w:r>
        <w:rPr>
          <w:i/>
          <w:lang w:val="bg-BG"/>
        </w:rPr>
        <w:t>непосредствено</w:t>
      </w:r>
      <w:r>
        <w:rPr>
          <w:b w:val="false"/>
          <w:lang w:val="bg-BG"/>
        </w:rPr>
        <w:t xml:space="preserve"> и </w:t>
      </w:r>
      <w:r>
        <w:rPr>
          <w:i/>
          <w:lang w:val="bg-BG"/>
        </w:rPr>
        <w:t>опосредствено</w:t>
      </w:r>
      <w:r>
        <w:rPr>
          <w:lang w:val="bg-BG"/>
        </w:rPr>
        <w:t xml:space="preserve">. </w:t>
      </w:r>
      <w:r>
        <w:rPr>
          <w:b w:val="false"/>
          <w:lang w:val="bg-BG"/>
        </w:rPr>
        <w:t xml:space="preserve"> Под непосредствено общуване се разбира общуването “лице с лице”, т.е. общуване чрез пряко, визуално взаимодействие между партньорите, при което всеки един участник възприема другия и осъществява непосредствен контакт главно чрез словото и като помощни средства – различни невербални системи. Опосредственото общуване се осъществява чрез посредник (междинно звено) – човек или други средства (преди всичко технически устройства, приспособления) – медиатори. Опосредственото общуване, съхранявайки различни основни характеристики на непосредственото, “живото общуване”, има свои специфични особености, свързани до голяма степен със свойствата на медиаторите. </w:t>
      </w:r>
    </w:p>
    <w:p>
      <w:pPr>
        <w:pStyle w:val="Heading3"/>
        <w:jc w:val="both"/>
        <w:rPr/>
      </w:pPr>
      <w:r>
        <w:rPr>
          <w:b w:val="false"/>
          <w:lang w:val="bg-BG"/>
        </w:rPr>
        <w:t xml:space="preserve">По съдържателните си връзки със задачите на съвместната дейност общуването бива </w:t>
      </w:r>
      <w:r>
        <w:rPr>
          <w:i/>
          <w:lang w:val="bg-BG"/>
        </w:rPr>
        <w:t>пряко (непосредствено)</w:t>
      </w:r>
      <w:r>
        <w:rPr>
          <w:b w:val="false"/>
          <w:lang w:val="bg-BG"/>
        </w:rPr>
        <w:t xml:space="preserve"> или </w:t>
      </w:r>
      <w:r>
        <w:rPr>
          <w:i/>
          <w:lang w:val="bg-BG"/>
        </w:rPr>
        <w:t>косвено (опосредствено)</w:t>
      </w:r>
      <w:r>
        <w:rPr>
          <w:b w:val="false"/>
          <w:i/>
          <w:lang w:val="bg-BG"/>
        </w:rPr>
        <w:t xml:space="preserve"> </w:t>
      </w:r>
      <w:r>
        <w:rPr>
          <w:i/>
          <w:lang w:val="bg-BG"/>
        </w:rPr>
        <w:t>свързано</w:t>
      </w:r>
      <w:r>
        <w:rPr>
          <w:b w:val="false"/>
          <w:lang w:val="bg-BG"/>
        </w:rPr>
        <w:t xml:space="preserve"> с тяхното решаване, или изцяло </w:t>
      </w:r>
      <w:r>
        <w:rPr>
          <w:i/>
          <w:lang w:val="bg-BG"/>
        </w:rPr>
        <w:t>несвързано</w:t>
      </w:r>
      <w:r>
        <w:rPr>
          <w:b w:val="false"/>
          <w:lang w:val="bg-BG"/>
        </w:rPr>
        <w:t xml:space="preserve"> с тези задачи. </w:t>
      </w:r>
    </w:p>
    <w:p>
      <w:pPr>
        <w:pStyle w:val="Heading3"/>
        <w:jc w:val="both"/>
        <w:rPr/>
      </w:pPr>
      <w:r>
        <w:rPr>
          <w:b w:val="false"/>
          <w:lang w:val="bg-BG"/>
        </w:rPr>
        <w:t xml:space="preserve">С оглед на преобладаващия вид комуникативни средства общуването бива: </w:t>
      </w:r>
      <w:r>
        <w:rPr>
          <w:i/>
          <w:lang w:val="bg-BG"/>
        </w:rPr>
        <w:t>речево (словесно), нер</w:t>
      </w:r>
      <w:r>
        <w:rPr>
          <w:lang w:val="bg-BG"/>
        </w:rPr>
        <w:t>ечево</w:t>
      </w:r>
      <w:r>
        <w:rPr>
          <w:b w:val="false"/>
          <w:lang w:val="bg-BG"/>
        </w:rPr>
        <w:t xml:space="preserve"> и </w:t>
      </w:r>
      <w:r>
        <w:rPr>
          <w:i/>
          <w:lang w:val="bg-BG"/>
        </w:rPr>
        <w:t>комбинирано.</w:t>
      </w:r>
      <w:r>
        <w:rPr>
          <w:b w:val="false"/>
          <w:lang w:val="bg-BG"/>
        </w:rPr>
        <w:t xml:space="preserve"> Наред с различните форми на вербално общуване важна роля играят и редица външни изразни средства: поза, мимика, пантомимика и пр. </w:t>
      </w:r>
    </w:p>
    <w:p>
      <w:pPr>
        <w:pStyle w:val="Heading3"/>
        <w:jc w:val="both"/>
        <w:rPr/>
      </w:pPr>
      <w:r>
        <w:rPr>
          <w:b w:val="false"/>
          <w:lang w:val="bg-BG"/>
        </w:rPr>
        <w:t xml:space="preserve">В зависимост от контингента на участниците общуването се разделя на: </w:t>
      </w:r>
      <w:r>
        <w:rPr>
          <w:i/>
          <w:lang w:val="bg-BG"/>
        </w:rPr>
        <w:t>междуличностно, лично-групово и междугрупово.</w:t>
      </w:r>
      <w:r>
        <w:rPr>
          <w:b w:val="false"/>
          <w:lang w:val="bg-BG"/>
        </w:rPr>
        <w:t xml:space="preserve">  Междуличностното общуване се изгражда върху контактите на всеки с всеки. Лично-груповото (индивидуално-груповото) предполага контакт на личността с групата, а междугруповото – контакт между две общности. </w:t>
      </w:r>
    </w:p>
    <w:p>
      <w:pPr>
        <w:pStyle w:val="Heading3"/>
        <w:jc w:val="both"/>
        <w:rPr/>
      </w:pPr>
      <w:r>
        <w:rPr>
          <w:b w:val="false"/>
          <w:lang w:val="bg-BG"/>
        </w:rPr>
        <w:t xml:space="preserve">А.А. </w:t>
      </w:r>
      <w:r>
        <w:rPr>
          <w:lang w:val="bg-BG"/>
        </w:rPr>
        <w:t>Леонтиев</w:t>
      </w:r>
      <w:r>
        <w:rPr>
          <w:b w:val="false"/>
          <w:lang w:val="bg-BG"/>
        </w:rPr>
        <w:t xml:space="preserve"> разграничава: </w:t>
      </w:r>
      <w:r>
        <w:rPr>
          <w:i/>
          <w:lang w:val="bg-BG"/>
        </w:rPr>
        <w:t>социално ориентирано общуване, групово</w:t>
      </w:r>
      <w:r>
        <w:rPr>
          <w:b w:val="false"/>
          <w:lang w:val="bg-BG"/>
        </w:rPr>
        <w:t xml:space="preserve"> </w:t>
      </w:r>
      <w:r>
        <w:rPr>
          <w:i/>
          <w:lang w:val="bg-BG"/>
        </w:rPr>
        <w:t>предметно ориентирано общуване</w:t>
      </w:r>
      <w:r>
        <w:rPr>
          <w:b w:val="false"/>
          <w:lang w:val="bg-BG"/>
        </w:rPr>
        <w:t xml:space="preserve"> и </w:t>
      </w:r>
      <w:r>
        <w:rPr>
          <w:i/>
          <w:lang w:val="bg-BG"/>
        </w:rPr>
        <w:t>личностно общуване</w:t>
      </w:r>
      <w:r>
        <w:rPr>
          <w:b w:val="false"/>
          <w:lang w:val="bg-BG"/>
        </w:rPr>
        <w:t>. Докато последното е  адресирано към конкретен партньор или партньори, другите видове общуване характеризират взаимоотношенията в по-големи или по-малки общности като цяло.</w:t>
      </w:r>
    </w:p>
    <w:p>
      <w:pPr>
        <w:pStyle w:val="Heading3"/>
        <w:jc w:val="both"/>
        <w:rPr/>
      </w:pPr>
      <w:r>
        <w:rPr>
          <w:b w:val="false"/>
          <w:lang w:val="bg-BG"/>
        </w:rPr>
        <w:t xml:space="preserve">Някои автори делят общуването на </w:t>
      </w:r>
      <w:r>
        <w:rPr>
          <w:i/>
          <w:lang w:val="bg-BG"/>
        </w:rPr>
        <w:t>аксиално</w:t>
      </w:r>
      <w:r>
        <w:rPr>
          <w:b w:val="false"/>
          <w:lang w:val="bg-BG"/>
        </w:rPr>
        <w:t xml:space="preserve">, при което съобщението се предава на строго определен приемник на информацията, и </w:t>
      </w:r>
      <w:r>
        <w:rPr>
          <w:i/>
          <w:lang w:val="bg-BG"/>
        </w:rPr>
        <w:t>ретинално</w:t>
      </w:r>
      <w:r>
        <w:rPr>
          <w:b w:val="false"/>
          <w:lang w:val="bg-BG"/>
        </w:rPr>
        <w:t xml:space="preserve">, което предполага много приемници на информация; на </w:t>
      </w:r>
      <w:r>
        <w:rPr>
          <w:lang w:val="bg-BG"/>
        </w:rPr>
        <w:t xml:space="preserve">емпатийно, резонансно, </w:t>
      </w:r>
      <w:r>
        <w:rPr>
          <w:i/>
          <w:lang w:val="bg-BG"/>
        </w:rPr>
        <w:t>рапортно,</w:t>
      </w:r>
      <w:r>
        <w:rPr>
          <w:b w:val="false"/>
          <w:lang w:val="bg-BG"/>
        </w:rPr>
        <w:t xml:space="preserve"> </w:t>
      </w:r>
      <w:r>
        <w:rPr>
          <w:i/>
          <w:lang w:val="bg-BG"/>
        </w:rPr>
        <w:t>стигматно, референтно, доверително</w:t>
      </w:r>
      <w:r>
        <w:rPr>
          <w:b w:val="false"/>
          <w:lang w:val="bg-BG"/>
        </w:rPr>
        <w:t xml:space="preserve">; на </w:t>
      </w:r>
      <w:r>
        <w:rPr>
          <w:i/>
          <w:lang w:val="bg-BG"/>
        </w:rPr>
        <w:t>кратковременно</w:t>
      </w:r>
      <w:r>
        <w:rPr>
          <w:b w:val="false"/>
          <w:lang w:val="bg-BG"/>
        </w:rPr>
        <w:t xml:space="preserve"> и </w:t>
      </w:r>
      <w:r>
        <w:rPr>
          <w:i/>
          <w:lang w:val="bg-BG"/>
        </w:rPr>
        <w:t>продължително</w:t>
      </w:r>
      <w:r>
        <w:rPr>
          <w:b w:val="false"/>
          <w:lang w:val="bg-BG"/>
        </w:rPr>
        <w:t xml:space="preserve">; на </w:t>
      </w:r>
      <w:r>
        <w:rPr>
          <w:i/>
          <w:lang w:val="bg-BG"/>
        </w:rPr>
        <w:t>завършено</w:t>
      </w:r>
      <w:r>
        <w:rPr>
          <w:b w:val="false"/>
          <w:lang w:val="bg-BG"/>
        </w:rPr>
        <w:t xml:space="preserve"> и </w:t>
      </w:r>
      <w:r>
        <w:rPr>
          <w:i/>
          <w:lang w:val="bg-BG"/>
        </w:rPr>
        <w:t>незавършено</w:t>
      </w:r>
      <w:r>
        <w:rPr>
          <w:b w:val="false"/>
          <w:lang w:val="bg-BG"/>
        </w:rPr>
        <w:t xml:space="preserve"> и много други. </w:t>
      </w:r>
    </w:p>
    <w:p>
      <w:pPr>
        <w:pStyle w:val="Heading3"/>
        <w:jc w:val="both"/>
        <w:rPr/>
      </w:pPr>
      <w:r>
        <w:rPr>
          <w:b w:val="false"/>
          <w:lang w:val="bg-BG"/>
        </w:rPr>
        <w:t xml:space="preserve">Специално внимание се отделя на </w:t>
      </w:r>
      <w:r>
        <w:rPr>
          <w:i/>
          <w:lang w:val="bg-BG"/>
        </w:rPr>
        <w:t>емпатийното общуване</w:t>
      </w:r>
      <w:r>
        <w:rPr>
          <w:b w:val="false"/>
          <w:lang w:val="bg-BG"/>
        </w:rPr>
        <w:t xml:space="preserve">, предполагащо емоционално приобщаване, съпреживяване, взаимно предаване на мисли и преживявания. </w:t>
      </w:r>
      <w:r>
        <w:rPr>
          <w:i/>
          <w:lang w:val="bg-BG"/>
        </w:rPr>
        <w:t>Резонансното общуване</w:t>
      </w:r>
      <w:r>
        <w:rPr>
          <w:b w:val="false"/>
          <w:lang w:val="bg-BG"/>
        </w:rPr>
        <w:t xml:space="preserve">, т.е. резонансното разкриване на душевния мир включва не само способността към емпатия, а предполага и сходни нормативно-ценностни системи у общуващите. </w:t>
      </w:r>
      <w:r>
        <w:rPr>
          <w:i/>
          <w:lang w:val="bg-BG"/>
        </w:rPr>
        <w:t>Стигматното общу</w:t>
      </w:r>
      <w:r>
        <w:rPr>
          <w:lang w:val="bg-BG"/>
        </w:rPr>
        <w:t>ване</w:t>
      </w:r>
      <w:r>
        <w:rPr>
          <w:b w:val="false"/>
          <w:lang w:val="bg-BG"/>
        </w:rPr>
        <w:t xml:space="preserve"> се основава върху използването на особени символи, знаци и не предполага непременно разкриване на вътрешния свят на общуващите. То е сходно с “етикетната” форма на общуване и има по-скоро ролеви, ритуален, отколкото личностен характер. При </w:t>
      </w:r>
      <w:r>
        <w:rPr>
          <w:i/>
          <w:lang w:val="bg-BG"/>
        </w:rPr>
        <w:t>рапортното общуване</w:t>
      </w:r>
      <w:r>
        <w:rPr>
          <w:b w:val="false"/>
          <w:lang w:val="bg-BG"/>
        </w:rPr>
        <w:t xml:space="preserve"> вътрешният свят е достъпен на партньора покрай волята на личността. </w:t>
      </w:r>
      <w:r>
        <w:rPr>
          <w:i/>
          <w:lang w:val="bg-BG"/>
        </w:rPr>
        <w:t>Референтното общу</w:t>
      </w:r>
      <w:r>
        <w:rPr>
          <w:lang w:val="bg-BG"/>
        </w:rPr>
        <w:t>ване</w:t>
      </w:r>
      <w:r>
        <w:rPr>
          <w:b w:val="false"/>
          <w:lang w:val="bg-BG"/>
        </w:rPr>
        <w:t xml:space="preserve"> може да се разглежда като междинна форма между рапортното и социално-ролевото.   </w:t>
      </w:r>
    </w:p>
    <w:p>
      <w:pPr>
        <w:pStyle w:val="Heading3"/>
        <w:jc w:val="both"/>
        <w:rPr/>
      </w:pPr>
      <w:r>
        <w:rPr>
          <w:b w:val="false"/>
          <w:lang w:val="bg-BG"/>
        </w:rPr>
        <w:t xml:space="preserve">По своята същност общуването се отличава с твърде сложната си </w:t>
      </w:r>
      <w:r>
        <w:rPr>
          <w:i/>
          <w:lang w:val="bg-BG"/>
        </w:rPr>
        <w:t>структура</w:t>
      </w:r>
      <w:r>
        <w:rPr>
          <w:b w:val="false"/>
          <w:i/>
          <w:lang w:val="bg-BG"/>
        </w:rPr>
        <w:t xml:space="preserve">. </w:t>
      </w:r>
      <w:r>
        <w:rPr>
          <w:b w:val="false"/>
          <w:lang w:val="bg-BG"/>
        </w:rPr>
        <w:t xml:space="preserve">Най-често в него се обособяват </w:t>
      </w:r>
      <w:r>
        <w:rPr>
          <w:i/>
          <w:lang w:val="bg-BG"/>
        </w:rPr>
        <w:t>три основни компонента</w:t>
      </w:r>
      <w:r>
        <w:rPr>
          <w:b w:val="false"/>
          <w:i/>
          <w:lang w:val="bg-BG"/>
        </w:rPr>
        <w:t>:</w:t>
      </w:r>
      <w:r>
        <w:rPr>
          <w:b w:val="false"/>
          <w:lang w:val="bg-BG"/>
        </w:rPr>
        <w:t xml:space="preserve"> комуникативен, интерактивен и перцептивен (Г.М. </w:t>
      </w:r>
      <w:r>
        <w:rPr>
          <w:lang w:val="bg-BG"/>
        </w:rPr>
        <w:t>Андреева</w:t>
      </w:r>
      <w:r>
        <w:rPr>
          <w:b w:val="false"/>
          <w:lang w:val="bg-BG"/>
        </w:rPr>
        <w:t>), информационен, практически и афективен (Б.Ф</w:t>
      </w:r>
      <w:r>
        <w:rPr>
          <w:lang w:val="bg-BG"/>
        </w:rPr>
        <w:t>. Ломов</w:t>
      </w:r>
      <w:r>
        <w:rPr>
          <w:b w:val="false"/>
          <w:lang w:val="bg-BG"/>
        </w:rPr>
        <w:t xml:space="preserve">), гностичен, практически и афективен (А.А. </w:t>
      </w:r>
      <w:r>
        <w:rPr>
          <w:lang w:val="bg-BG"/>
        </w:rPr>
        <w:t>Бодальов</w:t>
      </w:r>
      <w:r>
        <w:rPr>
          <w:b w:val="false"/>
          <w:lang w:val="bg-BG"/>
        </w:rPr>
        <w:t xml:space="preserve">), когнитивен, поведенчески и афективен (Я.Л. </w:t>
      </w:r>
      <w:r>
        <w:rPr>
          <w:lang w:val="bg-BG"/>
        </w:rPr>
        <w:t>Коломински</w:t>
      </w:r>
      <w:r>
        <w:rPr>
          <w:b w:val="false"/>
          <w:lang w:val="bg-BG"/>
        </w:rPr>
        <w:t xml:space="preserve">), познавателен, емоционален и поведенчески (В.Н. </w:t>
      </w:r>
      <w:r>
        <w:rPr>
          <w:lang w:val="bg-BG"/>
        </w:rPr>
        <w:t>Мясишчев</w:t>
      </w:r>
      <w:r>
        <w:rPr>
          <w:b w:val="false"/>
          <w:lang w:val="bg-BG"/>
        </w:rPr>
        <w:t xml:space="preserve">). Някои автори обаче разграничават  и </w:t>
      </w:r>
      <w:r>
        <w:rPr>
          <w:i/>
          <w:lang w:val="bg-BG"/>
        </w:rPr>
        <w:t>повече компоненти</w:t>
      </w:r>
      <w:r>
        <w:rPr>
          <w:b w:val="false"/>
          <w:lang w:val="bg-BG"/>
        </w:rPr>
        <w:t xml:space="preserve">, адекватни на всички основни функции на човешката дейност: комуникативна, информационна, когнитивна, емотивна, конативна, креативна. Комуникативната функция осигурява връзката на отделния индивид с всички останали. Информационната функция намира израз в отражението на свойствата на света. Когнитивната функция се проявява в осмислянето на възприетото чрез представите, мисленето и въображението. Емотивната функция характеризира емоционалната окраска на общуването, различните ситуативни или устойчиви емоционални състояния на личността. Конативната функция е свързана с индивидуалния стремеж на личността към един или друг обект като израз на нейните подбудителни сили. Креативната функция осигурява творческото преобразуване на действителността, както и на самата личност.                </w:t>
      </w:r>
    </w:p>
    <w:p>
      <w:pPr>
        <w:pStyle w:val="Heading2"/>
        <w:rPr/>
      </w:pPr>
      <w:bookmarkStart w:id="33" w:name="__RefHeading___Toc89859694"/>
      <w:r>
        <w:rPr/>
        <w:t>8.2. Някои специфични особености на общуването в третата възраст</w:t>
      </w:r>
      <w:bookmarkEnd w:id="33"/>
      <w:r>
        <w:rPr/>
        <w:t xml:space="preserve"> </w:t>
      </w:r>
    </w:p>
    <w:p>
      <w:pPr>
        <w:pStyle w:val="Heading3"/>
        <w:jc w:val="both"/>
        <w:rPr/>
      </w:pPr>
      <w:r>
        <w:rPr>
          <w:b w:val="false"/>
          <w:lang w:val="bg-BG"/>
        </w:rPr>
        <w:t xml:space="preserve">Общуването обикновено се разглежда като основен инструмент за социално приспособяване. Тази негова функция обаче е различно изразена в отделните фази на онтогенеза. Тя има първостепенно значение в периода на детството, юношеството и младежката възраст и започва постепенно да се видоизменя в зрялата възраст  във връзка с нарастването на социалната адаптивност и интегритета на личността. “Разширявайки диапазона на своите връзки с другите, индивидът все по-определено ограничава своето Аз и възприема себе си по социално определен начин. Нарастването на социалната интегрираност, изразено главно в разнообразието от форми на групово участие, предполага и изисква по-високо равнище на личностна структурираност и психична мобилност. Това съответствие между вътрешната и външната динамика стои в основата не само на психичния стабилитет на човека, но определя и неговата </w:t>
      </w:r>
      <w:r>
        <w:rPr>
          <w:i/>
          <w:lang w:val="bg-BG"/>
        </w:rPr>
        <w:t>пълноценност като социален субект”</w:t>
      </w:r>
      <w:r>
        <w:rPr>
          <w:b w:val="false"/>
          <w:lang w:val="bg-BG"/>
        </w:rPr>
        <w:t xml:space="preserve">(57, с.200).  </w:t>
      </w:r>
    </w:p>
    <w:p>
      <w:pPr>
        <w:pStyle w:val="Heading3"/>
        <w:jc w:val="both"/>
        <w:rPr/>
      </w:pPr>
      <w:r>
        <w:rPr>
          <w:b w:val="false"/>
          <w:lang w:val="bg-BG"/>
        </w:rPr>
        <w:t xml:space="preserve">В периода на напредналата и старческата възраст настъпват редица </w:t>
      </w:r>
      <w:r>
        <w:rPr>
          <w:i/>
          <w:lang w:val="bg-BG"/>
        </w:rPr>
        <w:t>промени</w:t>
      </w:r>
      <w:r>
        <w:rPr>
          <w:b w:val="false"/>
          <w:lang w:val="bg-BG"/>
        </w:rPr>
        <w:t xml:space="preserve"> в </w:t>
      </w:r>
      <w:r>
        <w:rPr>
          <w:i/>
          <w:lang w:val="bg-BG"/>
        </w:rPr>
        <w:t>социалната установка</w:t>
      </w:r>
      <w:r>
        <w:rPr>
          <w:b w:val="false"/>
          <w:lang w:val="bg-BG"/>
        </w:rPr>
        <w:t xml:space="preserve"> на личността, които обуславят до голяма степен и </w:t>
      </w:r>
      <w:r>
        <w:rPr>
          <w:i/>
          <w:lang w:val="bg-BG"/>
        </w:rPr>
        <w:t>спецификата на общуването</w:t>
      </w:r>
      <w:r>
        <w:rPr>
          <w:b w:val="false"/>
          <w:lang w:val="bg-BG"/>
        </w:rPr>
        <w:t xml:space="preserve">. Рязко отслабване на функционално-ролевите връзки на личността се наблюдава особено след прекратяването на трудово-професионалната дейност. С напредването на възрастта все повече се засилва тенденцията за отслабване и ограничаване на </w:t>
      </w:r>
      <w:r>
        <w:rPr>
          <w:i/>
          <w:lang w:val="bg-BG"/>
        </w:rPr>
        <w:t>социалното участие</w:t>
      </w:r>
      <w:r>
        <w:rPr>
          <w:b w:val="false"/>
          <w:lang w:val="bg-BG"/>
        </w:rPr>
        <w:t xml:space="preserve">. Отпадането  на социалните роли, свързани с професията, затваря един от важните канали за общуване, за получаване на социални оценки за собствената си пълноценност. Поради това твърде често излизането в пенсия се възприема като напускане на обществения живот въобще, а пенсионерът – като непълноценен или напълно безполезен, ненужен човек. В немалко случаи важни промени настъпват и в семейството, като например загуба на съпруг, отслабване на връзките с децата и пр.  Интензивните промени в междуличностната сфера могат до доведат до </w:t>
      </w:r>
      <w:r>
        <w:rPr>
          <w:i/>
          <w:lang w:val="bg-BG"/>
        </w:rPr>
        <w:t>адаптационен кризис</w:t>
      </w:r>
      <w:r>
        <w:rPr>
          <w:b w:val="false"/>
          <w:lang w:val="bg-BG"/>
        </w:rPr>
        <w:t xml:space="preserve"> или до състояние на </w:t>
      </w:r>
      <w:r>
        <w:rPr>
          <w:i/>
          <w:lang w:val="bg-BG"/>
        </w:rPr>
        <w:t>психична дезадаптация</w:t>
      </w:r>
      <w:r>
        <w:rPr>
          <w:b w:val="false"/>
          <w:lang w:val="bg-BG"/>
        </w:rPr>
        <w:t xml:space="preserve">.  Разбира се, състоянието на адаптационен кризис до голяма степен зависи от </w:t>
      </w:r>
      <w:r>
        <w:rPr>
          <w:i/>
          <w:lang w:val="bg-BG"/>
        </w:rPr>
        <w:t>субективното</w:t>
      </w:r>
      <w:r>
        <w:rPr>
          <w:b w:val="false"/>
          <w:lang w:val="bg-BG"/>
        </w:rPr>
        <w:t xml:space="preserve"> </w:t>
      </w:r>
      <w:r>
        <w:rPr>
          <w:i/>
          <w:lang w:val="bg-BG"/>
        </w:rPr>
        <w:t>преживяване</w:t>
      </w:r>
      <w:r>
        <w:rPr>
          <w:b w:val="false"/>
          <w:i/>
          <w:lang w:val="bg-BG"/>
        </w:rPr>
        <w:t xml:space="preserve"> </w:t>
      </w:r>
      <w:r>
        <w:rPr>
          <w:b w:val="false"/>
          <w:lang w:val="bg-BG"/>
        </w:rPr>
        <w:t xml:space="preserve">на настъпилите промени. То е толкова по-слабо изразено, колкото по-ефикасна е психичната подготовка за неизбежното преустройство на всекидневните стереотипи след пенсионирането. </w:t>
      </w:r>
    </w:p>
    <w:p>
      <w:pPr>
        <w:pStyle w:val="Heading3"/>
        <w:jc w:val="both"/>
        <w:rPr/>
      </w:pPr>
      <w:r>
        <w:rPr>
          <w:b w:val="false"/>
          <w:lang w:val="bg-BG"/>
        </w:rPr>
        <w:t>“</w:t>
      </w:r>
      <w:r>
        <w:rPr>
          <w:b w:val="false"/>
          <w:lang w:val="bg-BG"/>
        </w:rPr>
        <w:t xml:space="preserve">Възникналият след пенсионирането интерперсонален дефицит в повечето случаи увеличава субективната значимост на общуването за възрастния човек. Налице е закономерно нарастване на потребността от общуване с увеличаването на дефицита от партньори… Промяна в равнището на потребностите настъпва и при недостиг на други обекти, към които човек е привикнал за дълъг период от време…Ето защо преодоляването на адаптационния кризис като следствие на социалната дезинтеграция изисква преди всичко </w:t>
      </w:r>
      <w:r>
        <w:rPr>
          <w:i/>
          <w:lang w:val="bg-BG"/>
        </w:rPr>
        <w:t>възстановяване и поддържане на междуличностния интегритет чрез активни форми на общуване”</w:t>
      </w:r>
      <w:r>
        <w:rPr>
          <w:b w:val="false"/>
          <w:lang w:val="bg-BG"/>
        </w:rPr>
        <w:t>(57, с 203)</w:t>
      </w:r>
      <w:r>
        <w:rPr>
          <w:i/>
          <w:lang w:val="bg-BG"/>
        </w:rPr>
        <w:t>.</w:t>
      </w:r>
      <w:r>
        <w:rPr>
          <w:lang w:val="bg-BG"/>
        </w:rPr>
        <w:t xml:space="preserve"> </w:t>
      </w:r>
    </w:p>
    <w:p>
      <w:pPr>
        <w:pStyle w:val="Heading3"/>
        <w:jc w:val="both"/>
        <w:rPr/>
      </w:pPr>
      <w:r>
        <w:rPr>
          <w:b w:val="false"/>
          <w:lang w:val="bg-BG"/>
        </w:rPr>
        <w:t xml:space="preserve">С  основание се твърди, че преустройството на жизнените стереотипи е необходимо условие за приспособяването към всяка промяна. Но отделните  хора възприемат по различен начин промените. В зависимост от жизнения смисъл, който им придават, те избират различни стратегии за разрешаването на възникналите проблеми. С отпадането на едни или други важни социални роли след пенсионирането диапазонът на общуването се стеснява значително, като в центъра “остават” предимно взаимоотношенията от личностен, неформален характер. Това са обикновено контактите в семейството и близкия кръг от приятели. Те могат да се разглеждат като един постоянен резерв за компенсация на възникналия интерперсонален дефицит. “Ограничаването на общуването при възрастните хора променя и начина, по който възприемат своята позиция. Обикновено те считат, че отношението на другите към тях се е променило вследствие </w:t>
      </w:r>
      <w:r>
        <w:rPr>
          <w:i/>
          <w:lang w:val="bg-BG"/>
        </w:rPr>
        <w:t>отслабването на социалния престиж,</w:t>
      </w:r>
      <w:r>
        <w:rPr>
          <w:lang w:val="bg-BG"/>
        </w:rPr>
        <w:t xml:space="preserve"> </w:t>
      </w:r>
      <w:r>
        <w:rPr>
          <w:b w:val="false"/>
          <w:lang w:val="bg-BG"/>
        </w:rPr>
        <w:t xml:space="preserve">който са имали преди пенсионирането…Именно в тези случаи на преден план излиза </w:t>
      </w:r>
      <w:r>
        <w:rPr>
          <w:i/>
          <w:lang w:val="bg-BG"/>
        </w:rPr>
        <w:t>компенсаторнат</w:t>
      </w:r>
      <w:r>
        <w:rPr>
          <w:lang w:val="bg-BG"/>
        </w:rPr>
        <w:t xml:space="preserve">а </w:t>
      </w:r>
      <w:r>
        <w:rPr>
          <w:i/>
          <w:lang w:val="bg-BG"/>
        </w:rPr>
        <w:t>функция на общуването</w:t>
      </w:r>
      <w:r>
        <w:rPr>
          <w:b w:val="false"/>
          <w:lang w:val="bg-BG"/>
        </w:rPr>
        <w:t xml:space="preserve">, насочена към подкрепяне на Аз-концепцията с интерперсонални средства…В повечето случаи общуването добива характера на </w:t>
      </w:r>
      <w:r>
        <w:rPr>
          <w:i/>
          <w:lang w:val="bg-BG"/>
        </w:rPr>
        <w:t>основна социална дейност</w:t>
      </w:r>
      <w:r>
        <w:rPr>
          <w:b w:val="false"/>
          <w:lang w:val="bg-BG"/>
        </w:rPr>
        <w:t xml:space="preserve"> за тази възрастова група “(57, с.205). </w:t>
      </w:r>
    </w:p>
    <w:p>
      <w:pPr>
        <w:pStyle w:val="Heading3"/>
        <w:jc w:val="both"/>
        <w:rPr/>
      </w:pPr>
      <w:r>
        <w:rPr>
          <w:b w:val="false"/>
          <w:lang w:val="bg-BG"/>
        </w:rPr>
        <w:t xml:space="preserve">Съдържанието на общуването в тази възрастова група се характеризира с редица </w:t>
      </w:r>
      <w:r>
        <w:rPr>
          <w:i/>
          <w:lang w:val="bg-BG"/>
        </w:rPr>
        <w:t>особености</w:t>
      </w:r>
      <w:r>
        <w:rPr>
          <w:b w:val="false"/>
          <w:i/>
          <w:lang w:val="bg-BG"/>
        </w:rPr>
        <w:t xml:space="preserve">: </w:t>
      </w:r>
    </w:p>
    <w:p>
      <w:pPr>
        <w:pStyle w:val="Heading3"/>
        <w:numPr>
          <w:ilvl w:val="0"/>
          <w:numId w:val="27"/>
        </w:numPr>
        <w:jc w:val="both"/>
        <w:rPr/>
      </w:pPr>
      <w:r>
        <w:rPr>
          <w:i/>
        </w:rPr>
        <w:t>Ретроспективна насоченост</w:t>
      </w:r>
      <w:r>
        <w:rPr/>
        <w:t xml:space="preserve">. </w:t>
      </w:r>
      <w:r>
        <w:rPr>
          <w:b w:val="false"/>
        </w:rPr>
        <w:t>Обикновено старият  човек говори с голямо удоволствие  за миналото, за онези събития и явления в своя живот, които счита за важни. Тази особеност  се обяснява с потребността от  известна “реабилитация” на собствената си значимост в очите на другите. Като репродуцира  жизнения си опит, той по същество компенсира недостига от значими преживявания, свързани с прекратените вече дейности. При това в повечето случаи преобладава преувеличена положителна оценка на тези събития и явления.</w:t>
      </w:r>
    </w:p>
    <w:p>
      <w:pPr>
        <w:pStyle w:val="Heading3"/>
        <w:numPr>
          <w:ilvl w:val="0"/>
          <w:numId w:val="27"/>
        </w:numPr>
        <w:jc w:val="both"/>
        <w:rPr/>
      </w:pPr>
      <w:r>
        <w:rPr>
          <w:i/>
        </w:rPr>
        <w:t>Склонност</w:t>
      </w:r>
      <w:r>
        <w:rPr>
          <w:i/>
          <w:lang w:val="bg-BG"/>
        </w:rPr>
        <w:t xml:space="preserve"> към</w:t>
      </w:r>
      <w:r>
        <w:rPr>
          <w:lang w:val="bg-BG"/>
        </w:rPr>
        <w:t xml:space="preserve"> </w:t>
      </w:r>
      <w:r>
        <w:rPr>
          <w:i/>
          <w:lang w:val="bg-BG"/>
        </w:rPr>
        <w:t>дискутиране на житейски проблеми и актуални събития.</w:t>
      </w:r>
      <w:r>
        <w:rPr>
          <w:i/>
          <w:sz w:val="24"/>
        </w:rPr>
        <w:t xml:space="preserve"> </w:t>
      </w:r>
      <w:r>
        <w:rPr>
          <w:b w:val="false"/>
        </w:rPr>
        <w:t>Възрастните хора обикновено</w:t>
      </w:r>
      <w:r>
        <w:rPr>
          <w:b w:val="false"/>
          <w:lang w:val="bg-BG"/>
        </w:rPr>
        <w:t xml:space="preserve"> проявяват подчертана склонност да разискват проблемите на морала, на взаимоотношенията между хората, различните политически и икономически събития, на които са свидетели. Тази особеност се обяснява със стремежа им за себеутвърждаване, особено в общуването с по-младите поколения, защото натрупаният в тази област житейски опит им дава увереност за висока компетентност.</w:t>
      </w:r>
      <w:r>
        <w:rPr>
          <w:b w:val="false"/>
        </w:rPr>
        <w:t xml:space="preserve"> </w:t>
      </w:r>
      <w:r>
        <w:rPr>
          <w:sz w:val="24"/>
          <w:lang w:val="bg-BG"/>
        </w:rPr>
        <w:t xml:space="preserve"> </w:t>
      </w:r>
    </w:p>
    <w:p>
      <w:pPr>
        <w:pStyle w:val="Normal"/>
        <w:numPr>
          <w:ilvl w:val="0"/>
          <w:numId w:val="14"/>
        </w:numPr>
        <w:spacing w:lineRule="auto" w:line="240"/>
        <w:rPr/>
      </w:pPr>
      <w:r>
        <w:rPr>
          <w:b/>
          <w:i/>
        </w:rPr>
        <w:t>Повишена емоционалност</w:t>
      </w:r>
      <w:r>
        <w:rPr>
          <w:i/>
        </w:rPr>
        <w:t xml:space="preserve">. </w:t>
      </w:r>
      <w:r>
        <w:rPr/>
        <w:t>Възрастният човек се отличава със значително по-голяма чувствителност</w:t>
      </w:r>
      <w:r>
        <w:rPr>
          <w:b/>
        </w:rPr>
        <w:t xml:space="preserve">, </w:t>
      </w:r>
      <w:r>
        <w:rPr/>
        <w:t>към всичко онова, което околните правят или говорят.</w:t>
      </w:r>
      <w:r>
        <w:rPr>
          <w:i/>
        </w:rPr>
        <w:t xml:space="preserve"> </w:t>
      </w:r>
      <w:r>
        <w:rPr/>
        <w:t>Проблемите, които възникват в ежедневието и особено тези, свързани със здравословното състояние значително увеличават потребността от емоционална подкрепа и съчувствие. Емпатийното общуване, особено с хора на същата възраст, играе изключително голяма роля за поддържането на психичния стабилитет.  Нерядко обаче общуването може да бъде източник и на силни фрустрации. Често пъти възрастните хора преживяват с голяма афективност казана дума или действие от страна на другите, на които по-младите обикновено не обръщат никакво внимание. В по-крайни случаи това може да доведе до отказ от всякакви контакти, до   усамотняване.</w:t>
      </w:r>
    </w:p>
    <w:p>
      <w:pPr>
        <w:pStyle w:val="Normal"/>
        <w:numPr>
          <w:ilvl w:val="0"/>
          <w:numId w:val="14"/>
        </w:numPr>
        <w:spacing w:lineRule="auto" w:line="240"/>
        <w:rPr/>
      </w:pPr>
      <w:r>
        <w:rPr>
          <w:b/>
          <w:i/>
        </w:rPr>
        <w:t xml:space="preserve">Засилване на информативната му функция. </w:t>
      </w:r>
      <w:r>
        <w:rPr/>
        <w:t>Независимо от голямата роля, която играят различните средства за масова информация, те поставят човека в позицията на пасивен приемник. Директното общуване несъмнено има по-големи предимства, тъй като дава възможност да се разисква получената информация, да се изрази собствено мнение. Освен това при вдъзрастни с ограничена подвижност, с отслабен слух и зрение, особено когато нямат достъп до информационни среудства, товна общуване се превръща в единствен информационен канал.</w:t>
      </w:r>
    </w:p>
    <w:p>
      <w:pPr>
        <w:pStyle w:val="Normal"/>
        <w:spacing w:lineRule="auto" w:line="240"/>
        <w:rPr/>
      </w:pPr>
      <w:r>
        <w:rPr>
          <w:b/>
          <w:i/>
        </w:rPr>
        <w:t xml:space="preserve">      </w:t>
      </w:r>
      <w:r>
        <w:rPr/>
        <w:t xml:space="preserve">В.Д. </w:t>
      </w:r>
      <w:r>
        <w:rPr>
          <w:b/>
        </w:rPr>
        <w:t>Шапиро</w:t>
      </w:r>
      <w:r>
        <w:rPr/>
        <w:t xml:space="preserve"> установява, че реалният интензитет на общуването след пенсионирането е увеличен почти два пъти в  сравнение с очаквания от страна на изследваните лица (61, с.54). Тази констатация на пръв поглед е неочаквана, тъй като след пенсионирането си възрастният престава да бъде член на трудовия колектив и на редица други формализирани структури, в които е участвал. В действителност обаче той запазва членството си в редица неформални групи или се включва в нови, чиято психологическа значимост за личността нараства.  В тези групи, изградени съобразно желанията и потребностите на възрастните,   взаиморазбирането, емоционалната подкрепа и взаимопомощта са основни ценности.  </w:t>
      </w:r>
    </w:p>
    <w:p>
      <w:pPr>
        <w:pStyle w:val="NormalText"/>
        <w:rPr/>
      </w:pPr>
      <w:r>
        <w:rPr/>
        <w:t xml:space="preserve">От съществено значение за психофизиологическото здраве на стария човек е </w:t>
      </w:r>
      <w:r>
        <w:rPr>
          <w:b/>
          <w:i/>
        </w:rPr>
        <w:t>тематиката на общуването</w:t>
      </w:r>
      <w:r>
        <w:rPr/>
        <w:t xml:space="preserve">.По време на трудовата активност тя е много по-богата и нюансирана, като немалък дял от нея е свързан с успехите или неуспехите в работата, с взаимоотношенията с колеги, партньори, началници, подчинени и пр. С напредването на възрастта диапазонът на тематиката на общуването значително се стеснява. В нея започват да заемат все по-голямо място темите за заболявания, за загуба на роднини и близки, за икономически трудности и др. Повишава се чувствителността към слабости и недостатъци в обществения живот, към взаимодействията с порасналите деца, новите роднини и пр. Всичко това може да доведе до преобладаване на песимистични  настроения, на депресивните състояния. Един от начините за предотвратяване на отрицателните емоции е общуването на старите хора с по-млади, участието им в техни инициативи, тържества, при които обикновено  преобладава оптимистичното, бодрото, жизнерадостното настроение.  Много полезни форми са срещи на поколенията, работили и работещи  в дадени предприятия, служби, организиране на развлекателни програми за възрастни, включването им в хорове и пр. От значение е старите хора да се привличат за посещения на театрални представления, концерти, циркови програми, спортни състезания. Много важно е за тях  да се организират подходящи излети, екскурзии, разходки.  През последните години източник на радост създава общуването на старите хора с животни. В селата това е отдавна установена практика – там са много рядко хората, които не полагат грижи за птици, за бозайници. Трябва да се посочи, че и в градовете много хора вече имат по един домашен любимец – куче, котка, папагал, канарчета и др. Като се грижи за животните всъщност старият човек се грижи най-вече за себе си. Извършваните добрини правят и човека по-добър, прогонват лошите мисли, настроения, пораждат оптимизъм, бодрост, а с това удължават и живота. Известно е колко тежко старите хора изживяват отделянето им от дома, градината и селището, където са се радвали на своята младост, градили са бъдещето си, отгледали са децата си. Трудно им е да бъдат между четирите стени на апартамента в града, където са се заселили сина или дъщерята, въпреки всички удобства, да излизат безцелно на разходка. Когато обаче излизат да извеждат кучето, светоусещането е по-различно. Като има за какво да се грижи човек, има и разгръщане на неговите сили.  </w:t>
      </w:r>
    </w:p>
    <w:p>
      <w:pPr>
        <w:pStyle w:val="NormalText"/>
        <w:rPr/>
      </w:pPr>
      <w:r>
        <w:rPr/>
        <w:t xml:space="preserve">Основна и естествена среда в живота на възрастния и стария човек си остава </w:t>
      </w:r>
      <w:r>
        <w:rPr>
          <w:b/>
        </w:rPr>
        <w:t>неговият дом</w:t>
      </w:r>
      <w:r>
        <w:rPr/>
        <w:t xml:space="preserve">. Добрата домашна обстановка винаги оказва благоприятно влияние върху здравето и работоспособността на старите хора. Особено е важно те да бъдат сред своите деца, внуци и правници. Младото семейство трябва да се отнася с внимание и уважение към своите остарели родители, да ги включва в семейните празници и тържества. Защото само в условията на семейната хармония може да се предотврати появата на  чувството на самотност и ненужност. </w:t>
      </w:r>
    </w:p>
    <w:p>
      <w:pPr>
        <w:pStyle w:val="NormalText"/>
        <w:rPr/>
      </w:pPr>
      <w:r>
        <w:rPr/>
        <w:t xml:space="preserve">Обикновено едни хора са </w:t>
      </w:r>
      <w:r>
        <w:rPr>
          <w:b/>
          <w:i/>
        </w:rPr>
        <w:t>по-общителни</w:t>
      </w:r>
      <w:r>
        <w:rPr/>
        <w:t xml:space="preserve"> (екстраверсни), а други са </w:t>
      </w:r>
      <w:r>
        <w:rPr>
          <w:b/>
          <w:i/>
        </w:rPr>
        <w:t>по</w:t>
      </w:r>
      <w:r>
        <w:rPr>
          <w:i/>
        </w:rPr>
        <w:t>-</w:t>
      </w:r>
      <w:r>
        <w:rPr>
          <w:b/>
          <w:i/>
        </w:rPr>
        <w:t>затворени</w:t>
      </w:r>
      <w:r>
        <w:rPr/>
        <w:t xml:space="preserve"> (интроверсни). Тези характеристики с възрастта до голяма степен се запазват, но настъпват и известни изменения. У някои  по-стари хора се повишава словоохотливостта, желанието да са активната страна в общуването. Това се обяснява не само с придобитите в жизнения път знания и опит, а и с настъпилата известна лабилност на нервната система. На тях им е много трудно да задържат възникналите мисли и чувства. Такива хора се измъчват ако трябва да изчакат и да изслушат събеседника си. Заедно с това при някои хора е налице пък засилването на интровертността. Твърде често затварянето им в себе си води до пестене на душевна енергия, до запазване на вътрешното си равновесие и спокойствие. В други случаи се дължи на чувството на самотност, на безразличие и неверие в другите, на консервативност.  </w:t>
      </w:r>
    </w:p>
    <w:p>
      <w:pPr>
        <w:pStyle w:val="NormalText"/>
        <w:rPr/>
      </w:pPr>
      <w:r>
        <w:rPr/>
        <w:t xml:space="preserve">От проведеното от Ч. </w:t>
      </w:r>
      <w:r>
        <w:rPr>
          <w:b/>
        </w:rPr>
        <w:t>Кискинов</w:t>
      </w:r>
      <w:r>
        <w:rPr/>
        <w:t xml:space="preserve"> изследване с кого общуват възрастните хора и как преживяват контакта с другите могат да се формулират следните по-общи изводи (57, с. 209-228):</w:t>
      </w:r>
    </w:p>
    <w:p>
      <w:pPr>
        <w:pStyle w:val="Normal"/>
        <w:numPr>
          <w:ilvl w:val="0"/>
          <w:numId w:val="54"/>
        </w:numPr>
        <w:spacing w:lineRule="auto" w:line="240"/>
        <w:rPr/>
      </w:pPr>
      <w:r>
        <w:rPr/>
        <w:t xml:space="preserve">В структурата на социалните връзки при възрастните хора </w:t>
      </w:r>
      <w:r>
        <w:rPr>
          <w:b/>
        </w:rPr>
        <w:t>интензитетът на</w:t>
      </w:r>
      <w:r>
        <w:rPr/>
        <w:t xml:space="preserve"> </w:t>
      </w:r>
      <w:r>
        <w:rPr>
          <w:b/>
        </w:rPr>
        <w:t>общуването</w:t>
      </w:r>
      <w:r>
        <w:rPr/>
        <w:t xml:space="preserve"> в различните сфери  до голяма степен зависи от това, дали те живеят по домовете си или са настанени в домове за стари хора. За първата група се очертава доминиращата роля на общуването в семейството, приятелския и роднинския кръг, а за втората група на първо място е общуването с приятелите. При това се наблюдава увеличен процент на необщуващите с никого в тази група в сравнение с живеещите по домовете си пенсионери. Същевременно, макар и слабо нарастват контактите със случайни хора.</w:t>
      </w:r>
    </w:p>
    <w:p>
      <w:pPr>
        <w:pStyle w:val="Normal"/>
        <w:numPr>
          <w:ilvl w:val="0"/>
          <w:numId w:val="54"/>
        </w:numPr>
        <w:spacing w:lineRule="auto" w:line="240"/>
        <w:rPr>
          <w:sz w:val="32"/>
        </w:rPr>
      </w:pPr>
      <w:r>
        <w:rPr/>
        <w:t xml:space="preserve">В зависимост от </w:t>
      </w:r>
      <w:r>
        <w:rPr>
          <w:b/>
          <w:i/>
        </w:rPr>
        <w:t>половата принадлежност</w:t>
      </w:r>
      <w:r>
        <w:rPr/>
        <w:t xml:space="preserve"> общуването при мъжете се характеризира с по-широки граници, а при жените е налице по-висока емоционална привързаност към семейството. При това ограничаването на диапазона на общуването е по-забележимо при жените, отколкото при мъжете. Друга особеност е, че обикновено жената се стреми към скъсяване на психологическата дистанция и повишен емоционален обмен. Това е най-вече характерно за общуване с лица от същия пол, където емпатията е силно изразена. Обратно, при мъжете социалният контакт има по-високо значение главно като средство за постигане и утвърждаване на междуличностен и социален престиж.</w:t>
      </w:r>
    </w:p>
    <w:p>
      <w:pPr>
        <w:pStyle w:val="Normal"/>
        <w:numPr>
          <w:ilvl w:val="0"/>
          <w:numId w:val="54"/>
        </w:numPr>
        <w:spacing w:lineRule="auto" w:line="240"/>
        <w:rPr>
          <w:sz w:val="32"/>
        </w:rPr>
      </w:pPr>
      <w:r>
        <w:rPr/>
        <w:t>Установява се, съотношението между отделните сфери на общуване в периода от 55 до 66-70-годишна възраст е приблизително еднакво. След 70-годишна възраст активността към другите започва да намалява. Акцентът се поставя върху грижите на околните за стария човек.</w:t>
      </w:r>
    </w:p>
    <w:p>
      <w:pPr>
        <w:pStyle w:val="Normal"/>
        <w:numPr>
          <w:ilvl w:val="0"/>
          <w:numId w:val="54"/>
        </w:numPr>
        <w:spacing w:lineRule="auto" w:line="240"/>
        <w:rPr>
          <w:sz w:val="32"/>
        </w:rPr>
      </w:pPr>
      <w:r>
        <w:rPr/>
        <w:t xml:space="preserve">Социалното положение преди пенсионирането също оказва определено влияние върху </w:t>
      </w:r>
      <w:r>
        <w:rPr>
          <w:b/>
          <w:i/>
        </w:rPr>
        <w:t>структурата на общуването</w:t>
      </w:r>
      <w:r>
        <w:rPr/>
        <w:t>. При работниците и служещите то има по-широк диапазон в сравнение с общуването при селяните и занаятчиите. Това се обяснява с обстоятелството, че общуването на колегиална основа е много по-характерно за работниците и служителите, отколкото за селяните и занаятчиите.</w:t>
      </w:r>
    </w:p>
    <w:p>
      <w:pPr>
        <w:pStyle w:val="Normal"/>
        <w:numPr>
          <w:ilvl w:val="0"/>
          <w:numId w:val="54"/>
        </w:numPr>
        <w:spacing w:lineRule="auto" w:line="240"/>
        <w:rPr>
          <w:i/>
          <w:i/>
          <w:sz w:val="32"/>
        </w:rPr>
      </w:pPr>
      <w:r>
        <w:rPr/>
        <w:t xml:space="preserve">Общуването разкрива и някои особености по посока на влиянието върху начина, по който възрастните хора оценяват </w:t>
      </w:r>
      <w:r>
        <w:rPr>
          <w:b/>
          <w:i/>
        </w:rPr>
        <w:t>своето физическо и психично състояние.</w:t>
      </w:r>
      <w:r>
        <w:rPr>
          <w:i/>
        </w:rPr>
        <w:t xml:space="preserve"> </w:t>
      </w:r>
      <w:r>
        <w:rPr/>
        <w:t>Изводът е, че общуването е важен източник на еталони за сравнение.  Лица, които нямат контакти с други оценяват своето състояние като по-лошо от това на другите. Най-силно е изразено влиянието на естествените психични промени в групата на необщуващите възрастни хора. В някои случаи отказът от общуване може да се разглежда и като личностна защита срещу фрустриращи самооценки. Същевременно най-голямо безпокойство по отношение на бъдещето се установява при лицата, които не общуват с никого.</w:t>
      </w:r>
    </w:p>
    <w:p>
      <w:pPr>
        <w:pStyle w:val="Normal"/>
        <w:numPr>
          <w:ilvl w:val="0"/>
          <w:numId w:val="54"/>
        </w:numPr>
        <w:spacing w:lineRule="auto" w:line="240"/>
        <w:rPr>
          <w:i/>
          <w:i/>
          <w:sz w:val="32"/>
        </w:rPr>
      </w:pPr>
      <w:r>
        <w:rPr>
          <w:b/>
          <w:i/>
        </w:rPr>
        <w:t>Удовлетвореността от общуването</w:t>
      </w:r>
      <w:r>
        <w:rPr/>
        <w:t xml:space="preserve"> характеризира междуличностната сфера на възрастния човек, как той преживява контакта с другите. Съвсем естествено е, че най-висок е процентът на неудовлетворените от общуването, които са изолирани от всякакви контакти. Немалък е процентът на неудовлетвореност при неженените и разведените. Значителен е процентът на удовлетвореност от общуването с хора на същата възраст (по-голям при живеещите в дома си пенсионери и малко по-малък при живеещите в домовете стари хора).  </w:t>
      </w:r>
    </w:p>
    <w:p>
      <w:pPr>
        <w:pStyle w:val="Normal"/>
        <w:numPr>
          <w:ilvl w:val="0"/>
          <w:numId w:val="54"/>
        </w:numPr>
        <w:spacing w:lineRule="auto" w:line="240"/>
        <w:rPr>
          <w:i/>
          <w:i/>
          <w:sz w:val="32"/>
        </w:rPr>
      </w:pPr>
      <w:r>
        <w:rPr/>
        <w:t xml:space="preserve">Заслужава внимание фактът за  сравнително ниската удовлетвореност на възрастните хора от общуването със средното поколение (в сравнение с общуването помежду им и с по-младите). Обяснението се търси в съществуващите противоречия между двете съседни поколения, защото едното просто трябва да измести другото (конфликтът между родители и деца). Наблюдаваните  предпочитания за общуване на възрастните с по-младите се обясняват и с наличието на известна идентификация със собствената им младост, с по-големите очаквания от внуците. </w:t>
      </w:r>
    </w:p>
    <w:p>
      <w:pPr>
        <w:pStyle w:val="Normal"/>
        <w:numPr>
          <w:ilvl w:val="0"/>
          <w:numId w:val="54"/>
        </w:numPr>
        <w:spacing w:lineRule="auto" w:line="240"/>
        <w:rPr>
          <w:i/>
          <w:i/>
          <w:sz w:val="32"/>
        </w:rPr>
      </w:pPr>
      <w:r>
        <w:rPr/>
        <w:t xml:space="preserve">Ярко се очертава тенденцията за намаляване неудовлетвореността от общуването с увеличаване на образователното равнище. С повишаване на образователното равнище обикновено се разширява социалната включеност предвид на упражняваните професии и заеманите длъжности. С увеличаване на образователното равнище намалява удовлетвореността от общуването с хора на същата възраст и нараства по отношение на младите хора. </w:t>
      </w:r>
    </w:p>
    <w:p>
      <w:pPr>
        <w:pStyle w:val="Normal"/>
        <w:numPr>
          <w:ilvl w:val="0"/>
          <w:numId w:val="54"/>
        </w:numPr>
        <w:spacing w:lineRule="auto" w:line="240"/>
        <w:rPr>
          <w:i/>
          <w:i/>
          <w:sz w:val="32"/>
        </w:rPr>
      </w:pPr>
      <w:r>
        <w:rPr/>
        <w:t>Удовлетвореността от общуването до голяма степен е обусловена от общата удовлетвореност от изминатия път. Установява се, че при неудовлетворените от своята трудова дейност процентът на неудовлетворените от общуването е най-висок. Този процент е най-високи при лицата, посочили, че не са осъществили своите жизнени цели в областта на трудовата си дейност. Същата тенденция се наблюдава и при неосъществилите своите жизнени цели в другите сфери. Забелязва се понижение на удовлетвореността от общуването с млади хора при неосъществяване на жизнените цели по отношение на семейството и децата и с хора от средното поколение при неосъществяване на целите в областта на материалното осигуряване.</w:t>
      </w:r>
    </w:p>
    <w:p>
      <w:pPr>
        <w:pStyle w:val="Normal"/>
        <w:numPr>
          <w:ilvl w:val="0"/>
          <w:numId w:val="54"/>
        </w:numPr>
        <w:spacing w:lineRule="auto" w:line="240"/>
        <w:rPr>
          <w:i/>
          <w:i/>
          <w:sz w:val="32"/>
        </w:rPr>
      </w:pPr>
      <w:r>
        <w:rPr/>
        <w:t xml:space="preserve">По отношение на </w:t>
      </w:r>
      <w:r>
        <w:rPr>
          <w:b/>
          <w:i/>
        </w:rPr>
        <w:t>морала</w:t>
      </w:r>
      <w:r>
        <w:rPr/>
        <w:t xml:space="preserve"> на младото поколение преобладава оценката, че е по-лош. Известна толерантност е проявена от живеещите в домовете за стари хора, където е малко по-висок процентът на оценката “по-добър” от нашия. Подобна тенденция в оценките се открива и по отношение на трудолюбието на младите хора. </w:t>
      </w:r>
    </w:p>
    <w:p>
      <w:pPr>
        <w:pStyle w:val="NormalText"/>
        <w:rPr/>
      </w:pPr>
      <w:r>
        <w:rPr/>
        <w:t xml:space="preserve">Една от най-характерните особености на психичния статус и жизнената позиция на третата възраст, е </w:t>
      </w:r>
      <w:r>
        <w:rPr>
          <w:b/>
          <w:i/>
        </w:rPr>
        <w:t>готовността за сътрудничество с</w:t>
      </w:r>
      <w:r>
        <w:rPr/>
        <w:t xml:space="preserve"> </w:t>
      </w:r>
      <w:r>
        <w:rPr>
          <w:b/>
          <w:i/>
        </w:rPr>
        <w:t>по-младите поколения</w:t>
      </w:r>
      <w:r>
        <w:rPr/>
        <w:t xml:space="preserve"> (24, с. 92 и сл.). И това е напълно естествено. Благодарение на приемствеността между поколенията се осъществява непрекъснатия процес на предаване на социалния опит от една генерация на друга. За социалната активност на възрастните хора е налице стремеж към самореализация на личностни и междуличностни взаимоотношения, независимо от изживените години. При общото стесняване на диапазона на социалните функции на лицата в напреднала и старческа възраст в нередки случаи се наблюдава известно разширяване и активизиране на контактите с другите хора.  За разлика от  унаследяването на материалните и духовните ценности като отличителна черта на приемствеността, сътрудничеството между поколенията предполага подпомагане и поддръжка на хората поотделно и на различните възрастови групи. При това оказваната помощ може да бъде с различна насоченост: не само от страна на по-възрастните на по-младите, а и обратно: от по-младите на по-старите. Именно когато тя е “двупосочна” говорим за взаимност. </w:t>
      </w:r>
      <w:r>
        <w:rPr>
          <w:b/>
          <w:i/>
        </w:rPr>
        <w:t>Взаимодействието между поколенията</w:t>
      </w:r>
      <w:r>
        <w:rPr/>
        <w:t xml:space="preserve"> върху основата на взаимността сполучливо разкрива единството между категориите “дейност” и “общуване”, между формалните и неформалните процеси на контактуване. </w:t>
      </w:r>
      <w:r>
        <w:rPr>
          <w:b/>
          <w:i/>
        </w:rPr>
        <w:t>Взаимността</w:t>
      </w:r>
      <w:r>
        <w:rPr/>
        <w:t xml:space="preserve"> се характеризира с висока степен на психично отъждествяване между отделните човешки индивиди. Тя твърде често намира израз в дълбоката лична удовлетвореност от чувството за оказана помощ на другите и получена такава от тях. </w:t>
      </w:r>
    </w:p>
    <w:p>
      <w:pPr>
        <w:pStyle w:val="NormalText"/>
        <w:rPr>
          <w:lang w:val="en-US"/>
        </w:rPr>
      </w:pPr>
      <w:r>
        <w:rPr/>
        <w:t xml:space="preserve">Една от често наблюдаваните форми на взаимоотношения между старите и младите в обществото е </w:t>
      </w:r>
      <w:r>
        <w:rPr>
          <w:b/>
          <w:i/>
        </w:rPr>
        <w:t>доверителното общуване</w:t>
      </w:r>
      <w:r>
        <w:rPr/>
        <w:t xml:space="preserve">. В стремежа на младия човек да повишава адаптационните си възможности в условията на непрекъснато протичащите динамични промени естествено възниква необходимостта да потърси помощ, съвет или съдействие от други, по-опитни хора. Именно по-възрастните са най-търсените партньори за доверително общуване. От друга страна, и по-възрастните твърде често се стремят да установяват контакти с по-младите. Силни емоционални изяви на доверително общуване между възрастни и млади се наблюдават особено по време на тържества и празници. Гордост за стария човек е например  да ожени не само син и внук, но и правнук. А.В. </w:t>
      </w:r>
      <w:r>
        <w:rPr>
          <w:b/>
        </w:rPr>
        <w:t>Петровски</w:t>
      </w:r>
      <w:r>
        <w:rPr/>
        <w:t xml:space="preserve"> много сполучливо представя силно емоционалното отношение между възрастните и техните внуци. Като предава накратко своя разговор с К.К. </w:t>
      </w:r>
      <w:r>
        <w:rPr>
          <w:b/>
        </w:rPr>
        <w:t>Платонов</w:t>
      </w:r>
      <w:r>
        <w:rPr/>
        <w:t xml:space="preserve"> върху романа на Виктор </w:t>
      </w:r>
      <w:r>
        <w:rPr>
          <w:b/>
        </w:rPr>
        <w:t>Юго</w:t>
      </w:r>
      <w:r>
        <w:rPr/>
        <w:t xml:space="preserve"> “Хора или животни”, в който великият писател в гротескна форма  твърди, че между животните и хората няма съществена разлика, той отбелязва остроумната забележка на своя събеседник: “А пък аз ще ви посоча една  съществена разлика – животните не познават своите дядовци и баби”. “Беше невъзможно да се спори –признава А.В. Петровски. – Бабите и дядовците, прабабите и прадядовците, внуците и правнуците са атрибут изключително на човешкото семейство, при което основата на отношенията на третото или четвъртото поколение към първото е чисто емоционална, в най-висша степен лишена от пресметливост и разсъдък” (цит. по 2, с.137-138).</w:t>
      </w:r>
    </w:p>
    <w:p>
      <w:pPr>
        <w:pStyle w:val="NormalText"/>
        <w:rPr/>
      </w:pPr>
      <w:r>
        <w:rPr/>
        <w:t xml:space="preserve">А.В. </w:t>
      </w:r>
      <w:r>
        <w:rPr>
          <w:b/>
        </w:rPr>
        <w:t>Петровски</w:t>
      </w:r>
      <w:r>
        <w:rPr/>
        <w:t xml:space="preserve"> представя отношенията между възрастните и децата, най-вече в семейството, в следните варианти: диктат, конфронтация, “мирно съвместно съществуване” и сътрудничество. Последният вариант, разбира се,  се приема за най-оптимален.</w:t>
      </w:r>
    </w:p>
    <w:p>
      <w:pPr>
        <w:pStyle w:val="NormalText"/>
        <w:rPr/>
      </w:pPr>
      <w:r>
        <w:rPr/>
        <w:t xml:space="preserve">При изучаване на механизмите за установяване на приятелски отношения между хората от едно и също поколение, както и между представители на различни генерации най-често се посочва сходството в мненията и оценките им. При това се твърди, че търсенето на сходство и намирането на такова в редица отношения носи спонтанен, не всякога добре осъзнат характер. Това се разглежда като някаква предварителна готовност, която неусетно създава близост. Често една или друга личност, движеща се от съвсем различни мотиви и установки, при контакт с друга личност “завързва” приятелство, което получава трайни и богати измерения. Най-същественото е, че се създават взаимни връзки, които носят не само удовлетворение, а и упование и взаимна активизация на личностната позиция. </w:t>
      </w:r>
    </w:p>
    <w:p>
      <w:pPr>
        <w:pStyle w:val="Normal"/>
        <w:spacing w:lineRule="auto" w:line="240"/>
        <w:rPr/>
      </w:pPr>
      <w:r>
        <w:rPr/>
        <w:t xml:space="preserve">        </w:t>
      </w:r>
      <w:r>
        <w:rPr/>
        <w:t xml:space="preserve">Върху отношението на  по-младите към хората от третата възраст определено влияние оказват широко разпространените митове и представи (стереотипи)  за старостта. М. </w:t>
      </w:r>
      <w:r>
        <w:rPr>
          <w:b/>
        </w:rPr>
        <w:t>Кермис</w:t>
      </w:r>
      <w:r>
        <w:rPr/>
        <w:t xml:space="preserve"> например формулира негативната стереотипизация на възрастните по следния начин:</w:t>
      </w:r>
    </w:p>
    <w:p>
      <w:pPr>
        <w:pStyle w:val="Normal"/>
        <w:numPr>
          <w:ilvl w:val="0"/>
          <w:numId w:val="79"/>
        </w:numPr>
        <w:spacing w:lineRule="auto" w:line="240"/>
        <w:rPr/>
      </w:pPr>
      <w:r>
        <w:rPr/>
        <w:t>Всички възрастни са еднакви.</w:t>
      </w:r>
    </w:p>
    <w:p>
      <w:pPr>
        <w:pStyle w:val="Normal"/>
        <w:numPr>
          <w:ilvl w:val="0"/>
          <w:numId w:val="79"/>
        </w:numPr>
        <w:spacing w:lineRule="auto" w:line="240"/>
        <w:rPr/>
      </w:pPr>
      <w:r>
        <w:rPr/>
        <w:t>Старите хора са бедни.</w:t>
      </w:r>
    </w:p>
    <w:p>
      <w:pPr>
        <w:pStyle w:val="Normal"/>
        <w:numPr>
          <w:ilvl w:val="0"/>
          <w:numId w:val="79"/>
        </w:numPr>
        <w:spacing w:lineRule="auto" w:line="240"/>
        <w:rPr/>
      </w:pPr>
      <w:r>
        <w:rPr/>
        <w:t>Всички възрастни са болни.</w:t>
      </w:r>
    </w:p>
    <w:p>
      <w:pPr>
        <w:pStyle w:val="Normal"/>
        <w:numPr>
          <w:ilvl w:val="0"/>
          <w:numId w:val="79"/>
        </w:numPr>
        <w:spacing w:lineRule="auto" w:line="240"/>
        <w:rPr/>
      </w:pPr>
      <w:r>
        <w:rPr/>
        <w:t>Всички възрастни са подложени на депресии.</w:t>
      </w:r>
    </w:p>
    <w:p>
      <w:pPr>
        <w:pStyle w:val="Normal"/>
        <w:numPr>
          <w:ilvl w:val="0"/>
          <w:numId w:val="79"/>
        </w:numPr>
        <w:spacing w:lineRule="auto" w:line="240"/>
        <w:rPr/>
      </w:pPr>
      <w:r>
        <w:rPr/>
        <w:t>Възрастните са тежест (бреме) за другите.</w:t>
      </w:r>
    </w:p>
    <w:p>
      <w:pPr>
        <w:pStyle w:val="Normal"/>
        <w:numPr>
          <w:ilvl w:val="0"/>
          <w:numId w:val="79"/>
        </w:numPr>
        <w:spacing w:lineRule="auto" w:line="240"/>
        <w:rPr/>
      </w:pPr>
      <w:r>
        <w:rPr/>
        <w:t>Възрастните не могат да функционират в обществото.</w:t>
      </w:r>
    </w:p>
    <w:p>
      <w:pPr>
        <w:pStyle w:val="Normal"/>
        <w:numPr>
          <w:ilvl w:val="0"/>
          <w:numId w:val="79"/>
        </w:numPr>
        <w:spacing w:lineRule="auto" w:line="240"/>
        <w:rPr/>
      </w:pPr>
      <w:r>
        <w:rPr/>
        <w:t>Всички възрастни са самотни.</w:t>
      </w:r>
    </w:p>
    <w:p>
      <w:pPr>
        <w:pStyle w:val="Normal"/>
        <w:numPr>
          <w:ilvl w:val="0"/>
          <w:numId w:val="79"/>
        </w:numPr>
        <w:spacing w:lineRule="auto" w:line="240"/>
        <w:rPr/>
      </w:pPr>
      <w:r>
        <w:rPr/>
        <w:t xml:space="preserve">Всички стари хора са слабоумни.  </w:t>
      </w:r>
    </w:p>
    <w:p>
      <w:pPr>
        <w:pStyle w:val="Normal"/>
        <w:spacing w:lineRule="auto" w:line="240"/>
        <w:ind w:left="360" w:hanging="0"/>
        <w:rPr/>
      </w:pPr>
      <w:r>
        <w:rPr/>
        <w:t>Трябва да посочим, че и нас продължават да битуват схващания от рода на:</w:t>
      </w:r>
    </w:p>
    <w:p>
      <w:pPr>
        <w:pStyle w:val="Normal"/>
        <w:numPr>
          <w:ilvl w:val="0"/>
          <w:numId w:val="76"/>
        </w:numPr>
        <w:spacing w:lineRule="auto" w:line="240"/>
        <w:rPr/>
      </w:pPr>
      <w:r>
        <w:rPr/>
        <w:t>старият човек е същество болно, слабо, без достатъчно средства за съществуване, което не може да работи и се нуждае от постоянна помощ и опека;</w:t>
      </w:r>
    </w:p>
    <w:p>
      <w:pPr>
        <w:pStyle w:val="Normal"/>
        <w:numPr>
          <w:ilvl w:val="0"/>
          <w:numId w:val="76"/>
        </w:numPr>
        <w:spacing w:lineRule="auto" w:line="240"/>
        <w:rPr/>
      </w:pPr>
      <w:r>
        <w:rPr/>
        <w:t>това е същество самотно и консервативно, често страдащо от нарушения в дейността на мозъка;</w:t>
      </w:r>
    </w:p>
    <w:p>
      <w:pPr>
        <w:pStyle w:val="Normal"/>
        <w:numPr>
          <w:ilvl w:val="0"/>
          <w:numId w:val="76"/>
        </w:numPr>
        <w:spacing w:lineRule="auto" w:line="240"/>
        <w:rPr/>
      </w:pPr>
      <w:r>
        <w:rPr/>
        <w:t xml:space="preserve">с възрастта човек губи способността да взима правилни решения, неговото развитие се затормозява, той не е способен за по-нататъшно обучение, постепенно губи паметта си и пр. </w:t>
      </w:r>
    </w:p>
    <w:p>
      <w:pPr>
        <w:pStyle w:val="Normal"/>
        <w:spacing w:lineRule="auto" w:line="240"/>
        <w:ind w:left="60" w:hanging="0"/>
        <w:rPr/>
      </w:pPr>
      <w:r>
        <w:rPr/>
        <w:t xml:space="preserve">        </w:t>
      </w:r>
      <w:r>
        <w:rPr/>
        <w:t xml:space="preserve">Много изследователи обаче не потвърждават тази негативна стереотипизация. Стереотипите са неотделим компонент на индивидуалното и на масовото съзнание. Чрез тях се закрепва както положителния, така и отрицателния опит на хората, с което се обяснява относителната им едностранчивост и ограниченост, възможността понякога много лесно да се превръщат в предразсъдъци. В хода на общественото развитие се появяват противоречия между установените стереотипи и променените условия на живот. А това налага по-малки или радикални изменения в стереотипа. Не случайно редица учени наред с някои негативни характеристики на хората от третата възраст ( известен консерватизъм, не винаги адекватно критично отношение към младите, прекомерна педантичност и др.) посочват и редица позитивни техни качества ( наличие на голям опит, мъдрост, доброта, грижи за семейството и др.).  </w:t>
      </w:r>
    </w:p>
    <w:p>
      <w:pPr>
        <w:pStyle w:val="NormalText"/>
        <w:rPr/>
      </w:pPr>
      <w:r>
        <w:rPr>
          <w:b/>
          <w:i/>
        </w:rPr>
        <w:t>Общуването и душевността</w:t>
      </w:r>
      <w:r>
        <w:rPr/>
        <w:t xml:space="preserve"> са два лоста на живота, чието значение с възрастта не само се съхранява, а се и засилва. Всеки човек  си изработва модел или стил на поведение, който отразява неговите цели и ценности. В различните ситуации той обикновено  постъпва по начин, който да му носи успехи във взаимоотношенията с околните. Тези успехи до голяма степен обаче зависят от формирания тип поведение. При неустойчиво поведение личността е непредсказуема в своите постъпки, неуравновесена, непоследователна. Такава хора завързват нетрайни познанства, приятелства. Вътрешният им опит се формира стихийно. Несполуките им в живота ги мотивират да бъдат постоянно недоволни, да търсят причините не в себе си, а в другите. Личността с аналитико-прогностично поведение се учи от грешките си и натрупва положителен опит, който й позволява да проектира максимално вярно своите постъпки. Личността с интегративно поведение полага усилия да съчетава желания и задължения, лично благополучие и щедрост, оптимизъм и съчувствие, състрадание. Когато поведението се определя от едни или други случайности, личността обикновено избягва да мисли върху проблемите. Тя живее с надеждата, че всичко ще се реши от самосебе си, че в живота всичко се нарежда извън нашата воля. Подобна нагласа освобождава от интелектуални усилия, но крие и опасности от усложняване на обстановката, от възникване на конфликти,  от сблъскване с все по-големи трудности и от безсилие, от безпомощност при тяхното решаване. </w:t>
      </w:r>
    </w:p>
    <w:p>
      <w:pPr>
        <w:pStyle w:val="NormalText"/>
        <w:rPr/>
      </w:pPr>
      <w:r>
        <w:rPr/>
      </w:r>
    </w:p>
    <w:p>
      <w:pPr>
        <w:pStyle w:val="Heading2"/>
        <w:rPr/>
      </w:pPr>
      <w:r>
        <w:rPr/>
        <w:t>8.3. Самотата в третата възраст</w:t>
      </w:r>
    </w:p>
    <w:p>
      <w:pPr>
        <w:pStyle w:val="NormalText"/>
        <w:rPr/>
      </w:pPr>
      <w:r>
        <w:rPr/>
      </w:r>
    </w:p>
    <w:p>
      <w:pPr>
        <w:pStyle w:val="NormalText"/>
        <w:rPr/>
      </w:pPr>
      <w:r>
        <w:rPr/>
      </w:r>
    </w:p>
    <w:p>
      <w:pPr>
        <w:pStyle w:val="NormalText"/>
        <w:rPr/>
      </w:pPr>
      <w:r>
        <w:rPr/>
        <w:t xml:space="preserve">Един от  тай-често срещащите се феномени в геронтогенеза е </w:t>
      </w:r>
      <w:r>
        <w:rPr>
          <w:b/>
          <w:i/>
        </w:rPr>
        <w:t>самотата</w:t>
      </w:r>
      <w:r>
        <w:rPr/>
        <w:t xml:space="preserve">.   Тя може да бъде предизвикана от различни причини, като например инвалидизиране; смърт на брачния партньор,  роднина или близък човек; миграция или емиграция на любими хора; принудителна раздяла; възникване на конфликти; психични разстройства и много други. Продължителната самота твърде често довежда до състояние и поведение, които са извън нормата: нарушаване на вниманието, възприятията, емоционалната сфера на личността, представите й за себе си и за околната действителност. Самотниците имат чувството за непълноценност и ненужност. Застаряването на самотно живеещите лица е много по-интензивно. Изоставените и самотните стари хора бързо се превръщат в бреме за обществото.  Крайно намалените способности за адаптация на организма довеждат до засилване на инволюционните процеси в него и до атрофията му. В немалко случаи се наблюдава по-лека или по-тежка патология. Всичко това превръща самотно живеещите стари хора в изключително важен здравен, социален и икономически проблем. В съвременното общество проблемите за  самотата, респективно  за самотността придобиват все по-голяма актуалност, тъй като те не са “патент” само за  хората от третата възраст, а засягат и  много по-ранните възрастови периоди. </w:t>
      </w:r>
    </w:p>
    <w:p>
      <w:pPr>
        <w:pStyle w:val="NormalText"/>
        <w:rPr>
          <w:rFonts w:ascii="Arial" w:hAnsi="Arial" w:cs="Arial"/>
          <w:b/>
          <w:b/>
        </w:rPr>
      </w:pPr>
      <w:r>
        <w:rPr/>
        <w:t xml:space="preserve">К. </w:t>
      </w:r>
      <w:r>
        <w:rPr>
          <w:b/>
        </w:rPr>
        <w:t xml:space="preserve">Палешутски </w:t>
      </w:r>
      <w:r>
        <w:rPr/>
        <w:t xml:space="preserve">  отделя специално внимание на разкриването на същността на  феномена “самота” изобщо, на причините, които пораждат самотата  и последиците, които тя може да предизвика. “Глобално взето - отбелязва авторът, с развитието на човешката цивилизация се засилват колективните форми на съжителство. В случая не става дума за някакъв праволинеен, протичащ в чист вид процес. Зората на човечеството започва също с колективни форми на съжителство, като причините за това са предимно от природен характер – борбата срещу стихийната, неовладяна природа и реализирането на инстинкта за самосъхранение чрез по-голямата сила на колектива…С прехода към ф</w:t>
      </w:r>
      <w:r>
        <w:rPr>
          <w:lang w:val="en-US"/>
        </w:rPr>
        <w:t>e</w:t>
      </w:r>
      <w:r>
        <w:rPr/>
        <w:t>одализма, с разгръщането на стоковата организация на производство постепенно старите, вече архаични форми на съжителство се рушат. По-голямата икономическа свобода на индивида го прави по-слабо уязвим за външните природни сили, което променя и формите на съвместно съжителство. Силата на природните фактори намалява в степента, в която се увеличават силата и ролята на обществените. Срещу, а в значителна степен и над индивида, застават обществените организации и институции, т.е. все повече колективни форми на организация на обществения живот. Изграждането на тези социални структури е предопределено не от необходимостта за защита от природните сили, а за защита на определени групови интереси. В техните рамки интересът на отделния човек е само брънка, определен момент. Постепенно колективните форми на съжителство се заместват от индивидуализма, който се налага от самата икономическа структура на обществото, която изисква обособяването, автономността на отделния човек. Връзките на индивида с обществото се осъществяват най-вече чрез невидимите нишки на стоковите отношения…Развитието на обществото като плод на все по-засилващите се колективни форми на труд води до ситуация, когато колективът сякаш поглъща индивида, и цялото, подчинявайки своите части, в определена степен ги обезличава…Парадксалното в случая е, че именно господството на колективните форми на съжителство се явява една от причините за усилване на самотата. Събирането на много хора в определена социална организация увеличава възможностите за общуване между тях. Фактически обаче увеличените възможности водят до намаляваща действителност за осъществяване на тези контакти и отношения… Потенциалните възможности на индивида да не бъде самотен нарастват, но същевременно в действителност самотата става все по-разпространено явление…Затова “модерният” човек има много познати, но малко приятели, общува с много хора, но му липсва действителното общуване, …той е сред много хора, но е анонимен и самотен” (35, с. 41-43).</w:t>
      </w:r>
    </w:p>
    <w:p>
      <w:pPr>
        <w:pStyle w:val="NormalText"/>
        <w:rPr/>
      </w:pPr>
      <w:r>
        <w:rPr>
          <w:lang w:val="en-US"/>
        </w:rPr>
        <w:t xml:space="preserve">Авторът изтъква, че самотата е индивидуално психологическо преживяване, поради което има значителна автономност спрямо обществените механизми и структури, без, разбира се, да се игнорира тяхното влияние. Тя е явление, което се персонифицира на равнище на отделния индивид, т.е. носител на самотата може да бъде само отделен, конкретно-обособен индивид. Макар че значителна част от причините за самотата могат да бъдат обективни, тя има субективен характер. Най-същественото при нея е </w:t>
      </w:r>
      <w:r>
        <w:rPr>
          <w:b/>
          <w:i/>
          <w:lang w:val="en-US"/>
        </w:rPr>
        <w:t>липсата на общуване</w:t>
      </w:r>
      <w:r>
        <w:rPr>
          <w:lang w:val="en-US"/>
        </w:rPr>
        <w:t xml:space="preserve">, прекъсването на връзките на индивида с другите, неговата принудителна изолация поради неудовлетвореността от света на другите, макар че той не е лишен от желание да контактува с тях. При невъзможност да се получи пълноценно общуване изолацията от другите става принудителна. Тя прави индивида значително по-неактивен като член на обществото. Той се самоизолира не поради липса на желание да общува, а защото не намира себе си в общността, която не отговаря на изикванията и претенциите му. В този смисъл самотата е своеобразна защитна реакция срещу действителността, средство за запазване на автентичността на личността.  </w:t>
      </w:r>
    </w:p>
    <w:p>
      <w:pPr>
        <w:pStyle w:val="NormalText"/>
        <w:rPr/>
      </w:pPr>
      <w:r>
        <w:rPr>
          <w:lang w:val="en-US"/>
        </w:rPr>
        <w:t xml:space="preserve">К. </w:t>
      </w:r>
      <w:r>
        <w:rPr>
          <w:b/>
          <w:lang w:val="en-US"/>
        </w:rPr>
        <w:t xml:space="preserve">Палешутски </w:t>
      </w:r>
      <w:r>
        <w:rPr>
          <w:lang w:val="en-US"/>
        </w:rPr>
        <w:t>разграничава понятията “самота” и “сам”, както и близкото по съдържание до тях понятие “уединение”. Когато самотата е плод на особената склонност към уединение, независимо дали за това има или няма обективни причини, е по-правилно да се счита, че човекът е саможив, сам, но не и самотен. Саможивецът не чувства и не стада от липсата на общуване, той е сам, но не и самотен.  Самотникът  обикновено е сам, но не винаги този, който остава сам, е самотник. Уединението също е необходим, нормален и желан момент в човешкото общуване. То твърде често е плод на желанието на индивида доброволно да се откъсне  временно от другите, докато оставането “сам” може да е принудително. Близки по съдържание са  понятията “</w:t>
      </w:r>
      <w:r>
        <w:rPr>
          <w:b/>
          <w:i/>
          <w:lang w:val="en-US"/>
        </w:rPr>
        <w:t>самота</w:t>
      </w:r>
      <w:r>
        <w:rPr>
          <w:lang w:val="en-US"/>
        </w:rPr>
        <w:t xml:space="preserve">,  </w:t>
      </w:r>
      <w:r>
        <w:rPr>
          <w:i/>
          <w:lang w:val="en-US"/>
        </w:rPr>
        <w:t>“</w:t>
      </w:r>
      <w:r>
        <w:rPr>
          <w:b/>
          <w:i/>
          <w:lang w:val="en-US"/>
        </w:rPr>
        <w:t>социална изолация</w:t>
      </w:r>
      <w:r>
        <w:rPr>
          <w:lang w:val="en-US"/>
        </w:rPr>
        <w:t>” и “</w:t>
      </w:r>
      <w:r>
        <w:rPr>
          <w:b/>
          <w:i/>
          <w:lang w:val="en-US"/>
        </w:rPr>
        <w:t>отчуждение</w:t>
      </w:r>
      <w:r>
        <w:rPr>
          <w:lang w:val="en-US"/>
        </w:rPr>
        <w:t>”, но те не са тъждетвени. Самотата характеризира индивидуално-психологическо състояние на индивида, докато при социалната изолация и отчуждението акцентът се поставя върху нарушената адекватност между индивида и социалните образувания. Отчужденият от социалните институции обикновено е самотник. Но това не изключва и обратното: човек да се чувства удовлетворен от кръга на своите познати или да компенсира до известна степен самотата си, като се вкючва по-активно в живота на обществените институции.</w:t>
      </w:r>
    </w:p>
    <w:p>
      <w:pPr>
        <w:pStyle w:val="NormalText"/>
        <w:rPr/>
      </w:pPr>
      <w:r>
        <w:rPr>
          <w:lang w:val="en-US"/>
        </w:rPr>
        <w:t xml:space="preserve">Разглеждането на самотата преди всичко като субективно преживяване не означава, че се игнорират нейните обективните причини за нейното възникване. Индивидуалният човешки живот е сложна система от соцални връзки и отношения на индивида и другите. Вън от обществото, по думите на </w:t>
      </w:r>
      <w:r>
        <w:rPr>
          <w:b/>
          <w:lang w:val="en-US"/>
        </w:rPr>
        <w:t>Аристотел</w:t>
      </w:r>
      <w:r>
        <w:rPr>
          <w:lang w:val="en-US"/>
        </w:rPr>
        <w:t>, човекът е или звяр или Бог. Процесът на самотност по своята същност е единство от прекъснатост и непрекъснатост. Моментите на изолация позволят на човека критично да осмисли начина на своя живот и излизайки от това състояние да се почувства “по-различен”, твърде често и по-критичен към постъпките на другите и към собственото си поведение.</w:t>
      </w:r>
    </w:p>
    <w:p>
      <w:pPr>
        <w:pStyle w:val="NormalText"/>
        <w:rPr>
          <w:lang w:val="en-US"/>
        </w:rPr>
      </w:pPr>
      <w:r>
        <w:rPr>
          <w:lang w:val="en-US"/>
        </w:rPr>
        <w:t>Сложният и противоречив характер на самотата предполага различни подходи спрямо нея. В обобщен вид те са следните (35, с. 52-55):</w:t>
      </w:r>
    </w:p>
    <w:p>
      <w:pPr>
        <w:pStyle w:val="NormalText"/>
        <w:rPr/>
      </w:pPr>
      <w:r>
        <w:rPr>
          <w:lang w:val="en-US"/>
        </w:rPr>
        <w:t xml:space="preserve">а) </w:t>
      </w:r>
      <w:r>
        <w:rPr>
          <w:b/>
          <w:i/>
          <w:lang w:val="en-US"/>
        </w:rPr>
        <w:t>Психодинамичен</w:t>
      </w:r>
      <w:r>
        <w:rPr>
          <w:b/>
          <w:lang w:val="en-US"/>
        </w:rPr>
        <w:t>.</w:t>
      </w:r>
      <w:r>
        <w:rPr>
          <w:lang w:val="en-US"/>
        </w:rPr>
        <w:t xml:space="preserve">  Според този модел самотата е отражение на характерните черти на личността (нарцисизъм, мания за величие, враждебност и пр.). За разлика от самотата, която се разглежда като патология, уединението се приема за “нормално”, “преходящо умонастроение”.</w:t>
      </w:r>
    </w:p>
    <w:p>
      <w:pPr>
        <w:pStyle w:val="NormalText"/>
        <w:rPr/>
      </w:pPr>
      <w:r>
        <w:rPr>
          <w:lang w:val="en-US"/>
        </w:rPr>
        <w:t xml:space="preserve">б) </w:t>
      </w:r>
      <w:r>
        <w:rPr>
          <w:b/>
          <w:i/>
          <w:lang w:val="en-US"/>
        </w:rPr>
        <w:t>Феноменологична перспектива</w:t>
      </w:r>
      <w:r>
        <w:rPr>
          <w:lang w:val="en-US"/>
        </w:rPr>
        <w:t xml:space="preserve"> на К. </w:t>
      </w:r>
      <w:r>
        <w:rPr>
          <w:b/>
          <w:lang w:val="en-US"/>
        </w:rPr>
        <w:t>Роджърс</w:t>
      </w:r>
      <w:r>
        <w:rPr>
          <w:lang w:val="en-US"/>
        </w:rPr>
        <w:t>. Според него самотата е отчуждение на личността от нейните истински чувства. Стремейки се към признание и любов, индивидът се самоотчуждава от себе си и се показва такъв, какъвто очаква да го възприемат другите. По този начин се получава противоречие между вътрешния, истинския “аз” и проявяващия се в отношенията с другите “аз”. С други думи, обществото принуждава индивида да действа в съответствие със социалното оправдание, което ограничава свободата на действие.</w:t>
      </w:r>
    </w:p>
    <w:p>
      <w:pPr>
        <w:pStyle w:val="NormalText"/>
        <w:rPr/>
      </w:pPr>
      <w:r>
        <w:rPr>
          <w:lang w:val="en-US"/>
        </w:rPr>
        <w:t xml:space="preserve">в) </w:t>
      </w:r>
      <w:r>
        <w:rPr>
          <w:b/>
          <w:i/>
          <w:lang w:val="en-US"/>
        </w:rPr>
        <w:t>Екзистенциален подход</w:t>
      </w:r>
      <w:r>
        <w:rPr>
          <w:lang w:val="en-US"/>
        </w:rPr>
        <w:t>. Според него хората са изначално самотни, разединеността е тяхното нормално състояние. Истинската самота произтича от конкретната реалност на самотното съществуване и от стълкновението на личността с пограничните жизнени ситуации.</w:t>
      </w:r>
    </w:p>
    <w:p>
      <w:pPr>
        <w:pStyle w:val="NormalText"/>
        <w:rPr/>
      </w:pPr>
      <w:r>
        <w:rPr>
          <w:lang w:val="en-US"/>
        </w:rPr>
        <w:t xml:space="preserve">г) </w:t>
      </w:r>
      <w:r>
        <w:rPr>
          <w:b/>
          <w:i/>
          <w:lang w:val="en-US"/>
        </w:rPr>
        <w:t>Социологично тълкуване</w:t>
      </w:r>
      <w:r>
        <w:rPr>
          <w:lang w:val="en-US"/>
        </w:rPr>
        <w:t>. Самотата се разглежда като детерминирана главно от три причини: отслабване на връзките в първичните групи, увеличаване на семейната и на социалната мобилност. Причините за самотата са извън индивида; те са социални по своя характер и са свързани с процеса на социализация на личността.</w:t>
      </w:r>
    </w:p>
    <w:p>
      <w:pPr>
        <w:pStyle w:val="NormalText"/>
        <w:rPr/>
      </w:pPr>
      <w:r>
        <w:rPr>
          <w:lang w:val="en-US"/>
        </w:rPr>
        <w:t xml:space="preserve">д) </w:t>
      </w:r>
      <w:r>
        <w:rPr>
          <w:b/>
          <w:i/>
          <w:lang w:val="en-US"/>
        </w:rPr>
        <w:t>Интеракционистичен модел</w:t>
      </w:r>
      <w:r>
        <w:rPr>
          <w:lang w:val="en-US"/>
        </w:rPr>
        <w:t xml:space="preserve">. Самотата е функция на интерактивното (комбинираното) въздействие на личностния, характерологичния и ситуационния фактор. Тя е резултат от недостатъчното социално взаимодействие на индивида. При това обикновено опрелящи са ситуативните фактори (лични обстоятелства, развод, овдовяване и пр.). Именно тези текущи събития са ключовият фактор за формирането на самотата. Всяка ситуация се осмисля по различен начин от отделните индивиди, тя, макар и обективно съществуваща, се субективизира и така става фактор, който способства за увеличаване или намаляване на самотата. </w:t>
      </w:r>
    </w:p>
    <w:p>
      <w:pPr>
        <w:pStyle w:val="NormalText"/>
        <w:rPr/>
      </w:pPr>
      <w:r>
        <w:rPr>
          <w:lang w:val="en-US"/>
        </w:rPr>
        <w:t xml:space="preserve">е) </w:t>
      </w:r>
      <w:r>
        <w:rPr>
          <w:b/>
          <w:i/>
          <w:lang w:val="en-US"/>
        </w:rPr>
        <w:t>Когнитивен модел</w:t>
      </w:r>
      <w:r>
        <w:rPr>
          <w:lang w:val="en-US"/>
        </w:rPr>
        <w:t xml:space="preserve">. Самотността настъпва, когато индивидът осъзнава несъответствието между желанието и достигнатото равнище на собствените социални контакти. Тя е плод на осмислянето на този разрив. </w:t>
      </w:r>
    </w:p>
    <w:p>
      <w:pPr>
        <w:pStyle w:val="NormalText"/>
        <w:rPr/>
      </w:pPr>
      <w:r>
        <w:rPr>
          <w:lang w:val="en-US"/>
        </w:rPr>
        <w:t xml:space="preserve">ж) </w:t>
      </w:r>
      <w:r>
        <w:rPr>
          <w:b/>
          <w:i/>
          <w:lang w:val="en-US"/>
        </w:rPr>
        <w:t>Интимен подход</w:t>
      </w:r>
      <w:r>
        <w:rPr>
          <w:lang w:val="en-US"/>
        </w:rPr>
        <w:t xml:space="preserve">. Самотността е обусловена от липсата на съответен социален партньор, който да способства за достигането на различни реални цели. Индивидът се стреми да осъществи баланс между желанията и достигнатото равнище на социални контакти. Когато обаче в междулчностните отношения на индивида не достига интимност, той се чувства самотен. </w:t>
      </w:r>
    </w:p>
    <w:p>
      <w:pPr>
        <w:pStyle w:val="NormalText"/>
        <w:rPr/>
      </w:pPr>
      <w:r>
        <w:rPr>
          <w:lang w:val="en-US"/>
        </w:rPr>
        <w:t>з</w:t>
      </w:r>
      <w:r>
        <w:rPr>
          <w:i/>
          <w:lang w:val="en-US"/>
        </w:rPr>
        <w:t xml:space="preserve">) </w:t>
      </w:r>
      <w:r>
        <w:rPr>
          <w:b/>
          <w:i/>
          <w:lang w:val="en-US"/>
        </w:rPr>
        <w:t>Обща теория на системите</w:t>
      </w:r>
      <w:r>
        <w:rPr>
          <w:lang w:val="en-US"/>
        </w:rPr>
        <w:t xml:space="preserve">. Според нея поведението на живите организми отразява преплетеното влияние на няколко равнища, действащки едновременно като система: от клетъчното до междунационалното. Самотата е маханизъм на обратната връзка, помагаща на индивида или обществото да съхрани устойчивото оптимално равнище на човешките контакти. </w:t>
      </w:r>
    </w:p>
    <w:p>
      <w:pPr>
        <w:pStyle w:val="NormalText"/>
        <w:rPr>
          <w:lang w:val="en-US"/>
        </w:rPr>
      </w:pPr>
      <w:r>
        <w:rPr>
          <w:lang w:val="en-US"/>
        </w:rPr>
        <w:t xml:space="preserve">Приемането на един или друг подход към самотата до голяма степен зависи от това, кои причини се считат за определящи. </w:t>
      </w:r>
    </w:p>
    <w:p>
      <w:pPr>
        <w:pStyle w:val="NormalText"/>
        <w:rPr/>
      </w:pPr>
      <w:r>
        <w:rPr>
          <w:b/>
          <w:i/>
          <w:lang w:val="en-US"/>
        </w:rPr>
        <w:t>Първо</w:t>
      </w:r>
      <w:r>
        <w:rPr>
          <w:lang w:val="en-US"/>
        </w:rPr>
        <w:t xml:space="preserve">, както вече бе посочено, самотата е намалена и ниудовлетворена интензивност на общуването. </w:t>
      </w:r>
      <w:r>
        <w:rPr>
          <w:b/>
          <w:i/>
          <w:lang w:val="en-US"/>
        </w:rPr>
        <w:t>Трудностите</w:t>
      </w:r>
      <w:r>
        <w:rPr>
          <w:lang w:val="en-US"/>
        </w:rPr>
        <w:t xml:space="preserve">, които въникват в процеса на общуването могат да се разделят на </w:t>
      </w:r>
      <w:r>
        <w:rPr>
          <w:b/>
          <w:i/>
          <w:lang w:val="en-US"/>
        </w:rPr>
        <w:t>обективни</w:t>
      </w:r>
      <w:r>
        <w:rPr>
          <w:lang w:val="en-US"/>
        </w:rPr>
        <w:t xml:space="preserve">, външни по отношение на индивида, и </w:t>
      </w:r>
      <w:r>
        <w:rPr>
          <w:b/>
          <w:i/>
          <w:lang w:val="en-US"/>
        </w:rPr>
        <w:t>субективни</w:t>
      </w:r>
      <w:r>
        <w:rPr>
          <w:lang w:val="en-US"/>
        </w:rPr>
        <w:t>, свързани със самия него. В синтезиран внд тези трудности се свеждат до следното (35, с. 56-71):</w:t>
      </w:r>
    </w:p>
    <w:p>
      <w:pPr>
        <w:pStyle w:val="NormalText"/>
        <w:rPr>
          <w:lang w:val="en-US"/>
        </w:rPr>
      </w:pPr>
      <w:r>
        <w:rPr>
          <w:lang w:val="en-US"/>
        </w:rPr>
        <w:t xml:space="preserve">а) Всеки разбира у другия това, което се определя от неговата “поглъщателна и разбирателна способност”, т.е. онова, което предварително е в него или е близко по съдържание. Човек може да даде чрез общуването с другия само това, което е в границите на неговите интереси или сродно на тях. Това не изключва придобиването на ново знание чрез общуването. В този случай знанието е средство за промяна на другия, при което е необходимо да се търси баланс между съгласие и несъгласие, между желанието за промяна на другия и зачитането на неговото мнение. Посочената зависимост между това, което е налице у индивида и това, което той е склонен да възприеме от другите, твърде често поражда известен скептицизъм и дори недоверие в процеса на общуването. </w:t>
      </w:r>
    </w:p>
    <w:p>
      <w:pPr>
        <w:pStyle w:val="NormalText"/>
        <w:rPr>
          <w:lang w:val="en-US"/>
        </w:rPr>
      </w:pPr>
      <w:r>
        <w:rPr>
          <w:lang w:val="en-US"/>
        </w:rPr>
        <w:t xml:space="preserve">б) Друга причина, която прави общуването труден, понякога мъчителен и в известна степен “нечестен” процес, е фактът, че твърде често  индивидът  общува повече с представата, която вече си е изградил за другия, отколкото с неговото действително “аз”.  Неговото собствено “аз” също се променя непрекъснато в зависимост от представата, която са си изградили за него другите. </w:t>
      </w:r>
    </w:p>
    <w:p>
      <w:pPr>
        <w:pStyle w:val="NormalText"/>
        <w:rPr/>
      </w:pPr>
      <w:r>
        <w:rPr>
          <w:lang w:val="en-US"/>
        </w:rPr>
        <w:t xml:space="preserve">в) Стремежът към пълно единение с другия, към цялостното негово разкриване и разбиране, е по принцип неосъществим поради факта, че става дума за две отделни, обособени личности. Всеки човек има нещо свое, единствено, това, което </w:t>
      </w:r>
      <w:r>
        <w:rPr>
          <w:b/>
          <w:lang w:val="en-US"/>
        </w:rPr>
        <w:t xml:space="preserve">Гьоте </w:t>
      </w:r>
      <w:r>
        <w:rPr>
          <w:lang w:val="en-US"/>
        </w:rPr>
        <w:t>нарича “цитадела” – най-вътрешното, най-интимното, което не може да бъде съпреживяно и споделено с другите.</w:t>
      </w:r>
    </w:p>
    <w:p>
      <w:pPr>
        <w:pStyle w:val="NormalText"/>
        <w:rPr>
          <w:lang w:val="en-US"/>
        </w:rPr>
      </w:pPr>
      <w:r>
        <w:rPr>
          <w:lang w:val="en-US"/>
        </w:rPr>
        <w:t>г)  Известната вътрешна разпокъсаност и противоречивост на отделния човек също е предпоставка, която затормозява механизма на общуване. Тази нестабилност на “аз-а” дава отражение върху променливостта на изказваните мнения от един и същ човек в различно време.</w:t>
      </w:r>
    </w:p>
    <w:p>
      <w:pPr>
        <w:pStyle w:val="NormalText"/>
        <w:rPr>
          <w:lang w:val="en-US"/>
        </w:rPr>
      </w:pPr>
      <w:r>
        <w:rPr>
          <w:lang w:val="en-US"/>
        </w:rPr>
        <w:t xml:space="preserve">д) Съществена причина за трудностите в общуването е задълбочаващото се разделение на труда, повишаването на професионалната специализация на хората. От една страна, възможностите да се намери съответстващият тесен специалист, с който може да се осъществи действително общуване, все повече намаляват. От друга страна, механизирането и стандартизирането на живота твърде често води до формализъм в общуването, до свежането му до тривиални реплики. </w:t>
      </w:r>
    </w:p>
    <w:p>
      <w:pPr>
        <w:pStyle w:val="NormalText"/>
        <w:rPr/>
      </w:pPr>
      <w:r>
        <w:rPr>
          <w:b/>
          <w:i/>
          <w:lang w:val="en-US"/>
        </w:rPr>
        <w:t>Второ</w:t>
      </w:r>
      <w:r>
        <w:rPr>
          <w:i/>
          <w:lang w:val="en-US"/>
        </w:rPr>
        <w:t>,</w:t>
      </w:r>
      <w:r>
        <w:rPr>
          <w:lang w:val="en-US"/>
        </w:rPr>
        <w:t xml:space="preserve"> друга съществена,  обективна причина за самотата е неразрешимостта на екзистенциалните човешки проблеми. Развитието на човешкия разум довежда до възникването на въпросите: Кой съм аз?, Какъв съм аз?, Къде е мястото ми в тази всеобхватна вселена? и пр. Разумът, това велико завоевание на човека, същевременно се оказва и причина за неговата космогонна самостност. Интелектът, носещ духовна наслада и удовлетворение, принципно различаващ човека от животното, същевременно спомага той да осъзнае своята незначителност, своята малоценност и нищожно значение и роля върху хода на развитието на света. </w:t>
      </w:r>
    </w:p>
    <w:p>
      <w:pPr>
        <w:pStyle w:val="NormalText"/>
        <w:rPr/>
      </w:pPr>
      <w:r>
        <w:rPr>
          <w:b/>
          <w:i/>
          <w:lang w:val="en-US"/>
        </w:rPr>
        <w:t>Трето</w:t>
      </w:r>
      <w:r>
        <w:rPr>
          <w:lang w:val="en-US"/>
        </w:rPr>
        <w:t>, интелигентността и чувствителността са  двете основни характеристики на човека, но те самите могат да бъдат причини за самотата. Те повишават изискванията на индивида спрямо другите, тъй като всяко действително общуване предполага определена адекватност (интелигентна и чувствена) между двата субекта.</w:t>
      </w:r>
    </w:p>
    <w:p>
      <w:pPr>
        <w:pStyle w:val="NormalText"/>
        <w:rPr/>
      </w:pPr>
      <w:r>
        <w:rPr>
          <w:b/>
          <w:i/>
          <w:lang w:val="en-US"/>
        </w:rPr>
        <w:t>Четвърто</w:t>
      </w:r>
      <w:r>
        <w:rPr>
          <w:lang w:val="en-US"/>
        </w:rPr>
        <w:t>, причина за самотата може да бъде дори преситеността от живота и свързаното с нея огорчение. В случая самотата е следствие от това, на което тя самата е отрицание – съществуването на много контакти, връзки, прекаленото потапяне в стихията на живота.</w:t>
      </w:r>
    </w:p>
    <w:p>
      <w:pPr>
        <w:pStyle w:val="NormalText"/>
        <w:rPr>
          <w:lang w:val="en-US"/>
        </w:rPr>
      </w:pPr>
      <w:r>
        <w:rPr>
          <w:lang w:val="en-US"/>
        </w:rPr>
        <w:t>Всички посочени обективни причини се пречупват по неповторим и  специфичен начин във всеки отделен индивид. От съществено значение за това доколко той се чувства самотен са неговите претенции спрямо другите и изискванията му към живота, оценката на миналото, настоящето и погледът му към бъдещето. Много важно е отделният човек да си изгради нормални стандарти за сравнение с другите, за правилна оценка на социалните взаимоотношения. Приемането на нереалистични стандарти може да се яви причина за засилване на самотата. Съществува и обратната зависимост – наличието на състояние на самотност може да деформира стандартите на социалните взаимоотношения.</w:t>
      </w:r>
    </w:p>
    <w:p>
      <w:pPr>
        <w:pStyle w:val="NormalText"/>
        <w:rPr>
          <w:lang w:val="en-US"/>
        </w:rPr>
      </w:pPr>
      <w:r>
        <w:rPr>
          <w:lang w:val="en-US"/>
        </w:rPr>
        <w:t>Освен посочването на най-съществените причини за самотата интерес представлява и въпросът за нейната типизация и видовите й различия. В зависимост от екзистенциалните възможности на жизнения свят на личността обикновено се обособяват четири типа самота (35, 67-71):</w:t>
      </w:r>
    </w:p>
    <w:p>
      <w:pPr>
        <w:pStyle w:val="NormalText"/>
        <w:rPr/>
      </w:pPr>
      <w:r>
        <w:rPr>
          <w:lang w:val="en-US"/>
        </w:rPr>
        <w:t xml:space="preserve">а) </w:t>
      </w:r>
      <w:r>
        <w:rPr>
          <w:b/>
          <w:i/>
          <w:lang w:val="en-US"/>
        </w:rPr>
        <w:t>Космическа</w:t>
      </w:r>
      <w:r>
        <w:rPr>
          <w:i/>
          <w:lang w:val="en-US"/>
        </w:rPr>
        <w:t>.</w:t>
      </w:r>
      <w:r>
        <w:rPr>
          <w:lang w:val="en-US"/>
        </w:rPr>
        <w:t xml:space="preserve"> Тя е свързана с уникалността на съдбата на индивида. Космическото измерение на самотата е най-сложното й измерение, защото космосът е загадка, необятност, мистерия. То се използва за обозначаване поне на три форми на самовъзприемане: възприемане на себе си като цялостна реалност; причастност към тайнствено-мистичните аспекти на живота, пределно близки до Бога; вяра на човека в уникалността на своята съдба и роля. Последната форма  е най-високото равнище на самотата, когато индивидът се съпоставя с целия космос, с природата и търси своето място в галактиката. </w:t>
      </w:r>
    </w:p>
    <w:p>
      <w:pPr>
        <w:pStyle w:val="NormalText"/>
        <w:rPr/>
      </w:pPr>
      <w:r>
        <w:rPr>
          <w:lang w:val="en-US"/>
        </w:rPr>
        <w:t xml:space="preserve">б) </w:t>
      </w:r>
      <w:r>
        <w:rPr>
          <w:b/>
          <w:i/>
          <w:lang w:val="en-US"/>
        </w:rPr>
        <w:t>Културна</w:t>
      </w:r>
      <w:r>
        <w:rPr>
          <w:lang w:val="en-US"/>
        </w:rPr>
        <w:t xml:space="preserve">. Този тип самота се предопределя от традициите и културата на личността. Свързва се с преживяванията на човека в съвременния свят, особено на имигрантските и на малки групи от хора, които чувстват че връзките с тяхното културно наследство са прекъснати и те не могат да намерят своето място в социалното обкръжение, в “голямата група”. </w:t>
      </w:r>
    </w:p>
    <w:p>
      <w:pPr>
        <w:pStyle w:val="NormalText"/>
        <w:rPr/>
      </w:pPr>
      <w:r>
        <w:rPr>
          <w:lang w:val="en-US"/>
        </w:rPr>
        <w:t xml:space="preserve">в) </w:t>
      </w:r>
      <w:r>
        <w:rPr>
          <w:b/>
          <w:i/>
          <w:lang w:val="en-US"/>
        </w:rPr>
        <w:t>Социално измерение на самотата</w:t>
      </w:r>
      <w:r>
        <w:rPr>
          <w:lang w:val="en-US"/>
        </w:rPr>
        <w:t xml:space="preserve">. То се свързва  с чувството на отхвърленост, изоставеност от другите, с липсата на реална оценка от страна на групата. Индивидът усеща, че е загубил връзката, съпричастността, че е недооценен. Според Дж. </w:t>
      </w:r>
      <w:r>
        <w:rPr>
          <w:b/>
          <w:lang w:val="en-US"/>
        </w:rPr>
        <w:t xml:space="preserve">Хоманс </w:t>
      </w:r>
      <w:r>
        <w:rPr>
          <w:lang w:val="en-US"/>
        </w:rPr>
        <w:t xml:space="preserve">цивилизацията, която заради прогреса и растежа разрушава малките жизнени групи, ще направи хората самотни и нещастни, тъй като социалните институции все повече се разширяват и ролята на отделния човек в тях става все по-несъществена. </w:t>
      </w:r>
    </w:p>
    <w:p>
      <w:pPr>
        <w:pStyle w:val="NormalText"/>
        <w:rPr/>
      </w:pPr>
      <w:r>
        <w:rPr>
          <w:lang w:val="en-US"/>
        </w:rPr>
        <w:t xml:space="preserve">г) </w:t>
      </w:r>
      <w:r>
        <w:rPr>
          <w:b/>
          <w:i/>
          <w:lang w:val="en-US"/>
        </w:rPr>
        <w:t>Междуличностното измерение на самотата</w:t>
      </w:r>
      <w:r>
        <w:rPr>
          <w:lang w:val="en-US"/>
        </w:rPr>
        <w:t xml:space="preserve">. То включва отношенията “аз-ти” и изразява липсата или неудовлетворителното им равнище. Индивидът се чувства изолиран от другите; той няма ориентир и осмисленост на действията и живота като цяло. </w:t>
      </w:r>
    </w:p>
    <w:p>
      <w:pPr>
        <w:pStyle w:val="NormalText"/>
        <w:rPr>
          <w:lang w:val="en-US"/>
        </w:rPr>
      </w:pPr>
      <w:r>
        <w:rPr>
          <w:lang w:val="en-US"/>
        </w:rPr>
        <w:t>Според други критерии се разграничават:</w:t>
      </w:r>
    </w:p>
    <w:p>
      <w:pPr>
        <w:pStyle w:val="NormalText"/>
        <w:rPr/>
      </w:pPr>
      <w:r>
        <w:rPr>
          <w:lang w:val="en-US"/>
        </w:rPr>
        <w:t xml:space="preserve">а) </w:t>
      </w:r>
      <w:r>
        <w:rPr>
          <w:b/>
          <w:i/>
          <w:lang w:val="en-US"/>
        </w:rPr>
        <w:t>Позитивен, вътрешен тип самота</w:t>
      </w:r>
      <w:r>
        <w:rPr>
          <w:lang w:val="en-US"/>
        </w:rPr>
        <w:t xml:space="preserve"> (т.нар. “горда самота”). Тя се преживява като необходимо средство за разкриване на нови форми на свобода или нови форми на общуване с хората. </w:t>
      </w:r>
    </w:p>
    <w:p>
      <w:pPr>
        <w:pStyle w:val="NormalText"/>
        <w:rPr/>
      </w:pPr>
      <w:r>
        <w:rPr>
          <w:lang w:val="en-US"/>
        </w:rPr>
        <w:t xml:space="preserve">б) </w:t>
      </w:r>
      <w:r>
        <w:rPr>
          <w:b/>
          <w:i/>
          <w:lang w:val="en-US"/>
        </w:rPr>
        <w:t>Негативен вътрешен тип самота</w:t>
      </w:r>
      <w:r>
        <w:rPr>
          <w:lang w:val="en-US"/>
        </w:rPr>
        <w:t>. Преживява се като отчуждение от собственото “аз” и от другите.</w:t>
      </w:r>
    </w:p>
    <w:p>
      <w:pPr>
        <w:pStyle w:val="NormalText"/>
        <w:rPr/>
      </w:pPr>
      <w:r>
        <w:rPr>
          <w:lang w:val="en-US"/>
        </w:rPr>
        <w:t xml:space="preserve">в) </w:t>
      </w:r>
      <w:r>
        <w:rPr>
          <w:b/>
          <w:i/>
          <w:lang w:val="en-US"/>
        </w:rPr>
        <w:t>Негативен външен тип</w:t>
      </w:r>
      <w:r>
        <w:rPr>
          <w:i/>
          <w:lang w:val="en-US"/>
        </w:rPr>
        <w:t>.</w:t>
      </w:r>
      <w:r>
        <w:rPr>
          <w:lang w:val="en-US"/>
        </w:rPr>
        <w:t xml:space="preserve"> При него външните обстоятелства водят до негатино преживяване на самотата.</w:t>
      </w:r>
    </w:p>
    <w:p>
      <w:pPr>
        <w:pStyle w:val="NormalText"/>
        <w:rPr/>
      </w:pPr>
      <w:r>
        <w:rPr>
          <w:lang w:val="en-US"/>
        </w:rPr>
        <w:t>г</w:t>
      </w:r>
      <w:r>
        <w:rPr>
          <w:i/>
          <w:lang w:val="en-US"/>
        </w:rPr>
        <w:t xml:space="preserve">) </w:t>
      </w:r>
      <w:r>
        <w:rPr>
          <w:b/>
          <w:i/>
          <w:lang w:val="en-US"/>
        </w:rPr>
        <w:t>Позитивен външен тип</w:t>
      </w:r>
      <w:r>
        <w:rPr>
          <w:lang w:val="en-US"/>
        </w:rPr>
        <w:t xml:space="preserve">. При него чрез физическото уединение се търси нов позитивен опит.  </w:t>
      </w:r>
    </w:p>
    <w:p>
      <w:pPr>
        <w:pStyle w:val="NormalText"/>
        <w:rPr/>
      </w:pPr>
      <w:r>
        <w:rPr>
          <w:lang w:val="en-US"/>
        </w:rPr>
        <w:t>Срещат се и други класификации: “</w:t>
      </w:r>
      <w:r>
        <w:rPr>
          <w:b/>
          <w:i/>
          <w:lang w:val="en-US"/>
        </w:rPr>
        <w:t>първична</w:t>
      </w:r>
      <w:r>
        <w:rPr>
          <w:lang w:val="en-US"/>
        </w:rPr>
        <w:t>” самота, резултат от осъзнаването от човека на самотата в света, и “</w:t>
      </w:r>
      <w:r>
        <w:rPr>
          <w:b/>
          <w:i/>
          <w:lang w:val="en-US"/>
        </w:rPr>
        <w:t>вторична</w:t>
      </w:r>
      <w:r>
        <w:rPr>
          <w:lang w:val="en-US"/>
        </w:rPr>
        <w:t xml:space="preserve">” самота – обусловена от загубата на социални партньори. Има автори, които разграничават три типа самота: </w:t>
      </w:r>
      <w:r>
        <w:rPr>
          <w:b/>
          <w:i/>
          <w:lang w:val="en-US"/>
        </w:rPr>
        <w:t>хронична, ситуативна</w:t>
      </w:r>
      <w:r>
        <w:rPr>
          <w:lang w:val="en-US"/>
        </w:rPr>
        <w:t xml:space="preserve"> и </w:t>
      </w:r>
      <w:r>
        <w:rPr>
          <w:b/>
          <w:i/>
          <w:lang w:val="en-US"/>
        </w:rPr>
        <w:t>преходяща</w:t>
      </w:r>
      <w:r>
        <w:rPr>
          <w:i/>
          <w:lang w:val="en-US"/>
        </w:rPr>
        <w:t>.</w:t>
      </w:r>
      <w:r>
        <w:rPr>
          <w:lang w:val="en-US"/>
        </w:rPr>
        <w:t xml:space="preserve"> Други автори делят самотата на </w:t>
      </w:r>
      <w:r>
        <w:rPr>
          <w:b/>
          <w:i/>
          <w:lang w:val="en-US"/>
        </w:rPr>
        <w:t>емоционална</w:t>
      </w:r>
      <w:r>
        <w:rPr>
          <w:lang w:val="en-US"/>
        </w:rPr>
        <w:t xml:space="preserve">, която се свързва с липсата на привързаност към даден човек, и </w:t>
      </w:r>
      <w:r>
        <w:rPr>
          <w:b/>
          <w:i/>
          <w:lang w:val="en-US"/>
        </w:rPr>
        <w:t>социална</w:t>
      </w:r>
      <w:r>
        <w:rPr>
          <w:i/>
          <w:lang w:val="en-US"/>
        </w:rPr>
        <w:t>,</w:t>
      </w:r>
      <w:r>
        <w:rPr>
          <w:lang w:val="en-US"/>
        </w:rPr>
        <w:t xml:space="preserve"> характеризираща се с отсъствието на достъпен кръг на социално общуване. Някои говорят за </w:t>
      </w:r>
      <w:r>
        <w:rPr>
          <w:b/>
          <w:i/>
          <w:lang w:val="en-US"/>
        </w:rPr>
        <w:t>чувствена</w:t>
      </w:r>
      <w:r>
        <w:rPr>
          <w:lang w:val="en-US"/>
        </w:rPr>
        <w:t xml:space="preserve"> и </w:t>
      </w:r>
      <w:r>
        <w:rPr>
          <w:b/>
          <w:i/>
          <w:lang w:val="en-US"/>
        </w:rPr>
        <w:t>интелектуална</w:t>
      </w:r>
      <w:r>
        <w:rPr>
          <w:lang w:val="en-US"/>
        </w:rPr>
        <w:t xml:space="preserve"> самота. Първата предполага липса на чувствено общуване, а втората – на духовно. </w:t>
      </w:r>
    </w:p>
    <w:p>
      <w:pPr>
        <w:pStyle w:val="NormalText"/>
        <w:rPr>
          <w:lang w:val="en-US"/>
        </w:rPr>
      </w:pPr>
      <w:r>
        <w:rPr>
          <w:lang w:val="en-US"/>
        </w:rPr>
        <w:t>По своята дълбока  същност самотата е негативно явление. Тя   лишава индивида от вътрешно присъщото на човека общуване и при продължителното и съществуване може да предизвика сериозни душевни депресии.  В редица случаи обаче  самотата  може да има и своите предимства, да се яви като своеобразно защитно средство за съхранение на собственото “аз”. Тя е необходимо условие за осмисляне на света на другите, за духовното самопознание на индивида. Духът, разбиран преди всичко като интелект, като разум, по самата си същност изисква известна изолация спрямо хората, насочване на мисловната дейност към собствената си същност. Големите, самобитните таланти обикновено творят в състояние на самотност. Състоянието на самотност е в известна степен отхвърляне на социалния живот. Когато индивидът не намира удовлетворение в социалната действителност, самотата се превръща в средство за себеосъществяване по законите на собственото “аз”. В тази ситуация самотата се превръща в необходима, логична и закономерна защитна  реакция срещу несправедливата социална действителност.</w:t>
      </w:r>
    </w:p>
    <w:p>
      <w:pPr>
        <w:pStyle w:val="NormalText"/>
        <w:rPr>
          <w:lang w:val="en-US"/>
        </w:rPr>
      </w:pPr>
      <w:r>
        <w:rPr>
          <w:lang w:val="en-US"/>
        </w:rPr>
        <w:t xml:space="preserve">Интерес представлява социалнопсихологическата характеристика на самотника (35, с. 72-99). Като типични за самотника се сочат: комплекс за малоценност, ниска самооценка, скука, отчаяние, нарцисизъм, озлобеност, цинизъм, депресия, суицидни мисли и пр.  Това, което отличава и обособява самотника от останалите хора, е значително по-неинтензивното общуване. Самоизолацията служи като  своеобразна защита срещу неудовлетворяващата същност на обществото, на света на другите. Субективното, вътрешно-преживяваното, самородно-личното се превръщат във висши ценности за самотника. Тази изолираност подсилва неговата мисловна дейност и го стимулира да анализира своето състояние. Прекъсването на “невидимите нишки” с другите от своя страна  води до засилване ролята на спомените за минали събития и преживявания. Настоящето битие на самотника най-често се превръща в единство от тъга по миналото и копнеж по бъдещето.  Действителността се възприема като  нещо чуждо за самотника, а  неговият вътрешен свят става истинската действителност. Това в редица случаи  води  до отъждествяване на преживяваното с действителното. </w:t>
      </w:r>
    </w:p>
    <w:p>
      <w:pPr>
        <w:pStyle w:val="NormalText"/>
        <w:rPr/>
      </w:pPr>
      <w:r>
        <w:rPr>
          <w:lang w:val="en-US"/>
        </w:rPr>
        <w:t>Самотникът  обикновено е неуверен, склонен към различни внушения,  по-боязлив, по-сдържан в проявата на емоциите си. Уединеният живот го прави прекалено чувствителен по отношение на евентуален отказ за общуване, проява на студенина или безразличие от страна на другите. Той е нерешителен, бързо променя настроенията си без видими причини, нерядко проявява амбивалентни чувства (едновременно съществуване на нежност и враждебност към едно и също лице).  Всичко това води до формирането на комплекс за малоценност.  Прекомерните изисквания към себе си пораждат различни трудности в намирането на решение на житейските проблеми. С това се обяснява и преобладаването на ниска самооценка у много самотници,  твърденията им, че са неудачници, че “не им  върви в живота”. Липсата на претенции от своя страна пък води до приемането и на най-малките успехи за значими, а оттам и до формирането на висока  самооценка. Понякога състоянието на самотност води до вътрешна противоречива раздвоеност у самотника – до прояви на самосъжаление или на себелюбие и високомерие, дори презрение към другите. Когато самотникът търси някого, с когото да прекара времето си, но не среща разбиране от другата страна, чувството за самота значително се усилва. Това чувство може да доведе до засилване на желанието да се изпита страданието докрай, или да предизвика дори нарцистични прояви. Не случайно  много самотници смятат, че “адът – това са другите” (</w:t>
      </w:r>
      <w:r>
        <w:rPr>
          <w:b/>
          <w:lang w:val="en-US"/>
        </w:rPr>
        <w:t>Сартър</w:t>
      </w:r>
      <w:r>
        <w:rPr>
          <w:lang w:val="en-US"/>
        </w:rPr>
        <w:t>).</w:t>
      </w:r>
    </w:p>
    <w:p>
      <w:pPr>
        <w:pStyle w:val="NormalText"/>
        <w:rPr>
          <w:lang w:val="en-US"/>
        </w:rPr>
      </w:pPr>
      <w:r>
        <w:rPr>
          <w:lang w:val="en-US"/>
        </w:rPr>
        <w:t xml:space="preserve">Самотникът общо взето  е по-малко деен и изолацията му  не дава възможност на другите да достигнат до него, макар че той самият да желае да стигне до тях. Занижената му комуникативност, насочването му към своя вътрешен, “втори свят” увеличават неговата вътрешна свобода. Той става по-неуязвим за случайностите в живота, по-независим от каквото и да е външно вмешателство, по-самостоятелен. Емоционалното състояние на самотния човек се характеризира с различни нюанси: прояви на  ранимост, срамежливост, раздразнение, тъга, безпокойство, страх, потиснатост, меланхолия, стрес, отчужденост, самосъжаление, уплаха, безпомощност, отчаяние, паника или на   прекомерна самоувереност, себелюбие,  надменност, нарцисизъм и пр. </w:t>
      </w:r>
    </w:p>
    <w:p>
      <w:pPr>
        <w:pStyle w:val="NormalText"/>
        <w:rPr>
          <w:lang w:val="en-US"/>
        </w:rPr>
      </w:pPr>
      <w:r>
        <w:rPr>
          <w:lang w:val="en-US"/>
        </w:rPr>
        <w:t>От проведени в САЩ множество изследвания могат да се направят следните по-важни изводи (35, с. 96-97):</w:t>
      </w:r>
    </w:p>
    <w:p>
      <w:pPr>
        <w:pStyle w:val="NormalText"/>
        <w:numPr>
          <w:ilvl w:val="0"/>
          <w:numId w:val="28"/>
        </w:numPr>
        <w:rPr>
          <w:lang w:val="en-US"/>
        </w:rPr>
      </w:pPr>
      <w:r>
        <w:rPr>
          <w:lang w:val="en-US"/>
        </w:rPr>
        <w:t>При изследване на големи групи се оказва, че жените са по-самотни, а при изследване на студенти, такава закономерност не се открива.</w:t>
      </w:r>
    </w:p>
    <w:p>
      <w:pPr>
        <w:pStyle w:val="NormalText"/>
        <w:numPr>
          <w:ilvl w:val="0"/>
          <w:numId w:val="28"/>
        </w:numPr>
        <w:rPr>
          <w:lang w:val="en-US"/>
        </w:rPr>
      </w:pPr>
      <w:r>
        <w:rPr>
          <w:lang w:val="en-US"/>
        </w:rPr>
        <w:t>Бедните са по-самотни от богатите.</w:t>
      </w:r>
    </w:p>
    <w:p>
      <w:pPr>
        <w:pStyle w:val="NormalText"/>
        <w:numPr>
          <w:ilvl w:val="0"/>
          <w:numId w:val="28"/>
        </w:numPr>
        <w:rPr>
          <w:lang w:val="en-US"/>
        </w:rPr>
      </w:pPr>
      <w:r>
        <w:rPr>
          <w:lang w:val="en-US"/>
        </w:rPr>
        <w:t>Младите са по-самотни от старите. Такава зависимост съществува и при разведените и овдовелите.</w:t>
      </w:r>
    </w:p>
    <w:p>
      <w:pPr>
        <w:pStyle w:val="NormalText"/>
        <w:numPr>
          <w:ilvl w:val="0"/>
          <w:numId w:val="28"/>
        </w:numPr>
        <w:rPr>
          <w:lang w:val="en-US"/>
        </w:rPr>
      </w:pPr>
      <w:r>
        <w:rPr>
          <w:lang w:val="en-US"/>
        </w:rPr>
        <w:t>Всеки трети от четирима обяснява самотата си с непредвидени трудности или раздяла.</w:t>
      </w:r>
    </w:p>
    <w:p>
      <w:pPr>
        <w:pStyle w:val="NormalText"/>
        <w:numPr>
          <w:ilvl w:val="0"/>
          <w:numId w:val="28"/>
        </w:numPr>
        <w:rPr>
          <w:lang w:val="en-US"/>
        </w:rPr>
      </w:pPr>
      <w:r>
        <w:rPr>
          <w:lang w:val="en-US"/>
        </w:rPr>
        <w:t>Скуката като компонент на самотата е по-характерна за младите.</w:t>
      </w:r>
    </w:p>
    <w:p>
      <w:pPr>
        <w:pStyle w:val="NormalText"/>
        <w:numPr>
          <w:ilvl w:val="0"/>
          <w:numId w:val="28"/>
        </w:numPr>
        <w:rPr>
          <w:lang w:val="en-US"/>
        </w:rPr>
      </w:pPr>
      <w:r>
        <w:rPr>
          <w:lang w:val="en-US"/>
        </w:rPr>
        <w:t>Самотата при по-възрастните е следствие най-вече от бедност и болест, а не толкова от възрастта.</w:t>
      </w:r>
    </w:p>
    <w:p>
      <w:pPr>
        <w:pStyle w:val="NormalText"/>
        <w:numPr>
          <w:ilvl w:val="0"/>
          <w:numId w:val="28"/>
        </w:numPr>
        <w:rPr>
          <w:lang w:val="en-US"/>
        </w:rPr>
      </w:pPr>
      <w:r>
        <w:rPr>
          <w:lang w:val="en-US"/>
        </w:rPr>
        <w:t xml:space="preserve">Самотниците се разболяват по-често от сериозни болести и по-често умират преждевременно. </w:t>
      </w:r>
    </w:p>
    <w:p>
      <w:pPr>
        <w:pStyle w:val="NormalText"/>
        <w:numPr>
          <w:ilvl w:val="0"/>
          <w:numId w:val="28"/>
        </w:numPr>
        <w:rPr>
          <w:lang w:val="en-US"/>
        </w:rPr>
      </w:pPr>
      <w:r>
        <w:rPr>
          <w:lang w:val="en-US"/>
        </w:rPr>
        <w:t>Възрастни, които оценяват своите отношения с родителите по време на детството като добри, считат себе си по-малко самотни.</w:t>
      </w:r>
    </w:p>
    <w:p>
      <w:pPr>
        <w:pStyle w:val="NormalText"/>
        <w:numPr>
          <w:ilvl w:val="0"/>
          <w:numId w:val="28"/>
        </w:numPr>
        <w:rPr>
          <w:lang w:val="en-US"/>
        </w:rPr>
      </w:pPr>
      <w:r>
        <w:rPr>
          <w:lang w:val="en-US"/>
        </w:rPr>
        <w:t>Самотността на децата зависи и от възрастта им, когато родителите са разведени: колкото по-малко е детето по време на развода, толкова е по-самотно когато порасне.</w:t>
      </w:r>
    </w:p>
    <w:p>
      <w:pPr>
        <w:pStyle w:val="NormalText"/>
        <w:numPr>
          <w:ilvl w:val="0"/>
          <w:numId w:val="28"/>
        </w:numPr>
        <w:rPr>
          <w:lang w:val="en-US"/>
        </w:rPr>
      </w:pPr>
      <w:r>
        <w:rPr>
          <w:lang w:val="en-US"/>
        </w:rPr>
        <w:t xml:space="preserve"> </w:t>
      </w:r>
      <w:r>
        <w:rPr>
          <w:lang w:val="en-US"/>
        </w:rPr>
        <w:t>Смъртта на родителите не оказва продължително въздействие върху самотата на децата. Няма голяма връзка между самотата и това дали родителите са умрели, когато детето е било по-малко от 18 г., по-голямо от 18 г. или дали са живи.</w:t>
      </w:r>
    </w:p>
    <w:p>
      <w:pPr>
        <w:pStyle w:val="NormalText"/>
        <w:numPr>
          <w:ilvl w:val="0"/>
          <w:numId w:val="28"/>
        </w:numPr>
        <w:rPr>
          <w:lang w:val="en-US"/>
        </w:rPr>
      </w:pPr>
      <w:r>
        <w:rPr>
          <w:lang w:val="en-US"/>
        </w:rPr>
        <w:t xml:space="preserve"> </w:t>
      </w:r>
      <w:r>
        <w:rPr>
          <w:lang w:val="en-US"/>
        </w:rPr>
        <w:t>Колкото доверието на родителите е по-голямо, толкова самотата у децата е по-малка.</w:t>
      </w:r>
    </w:p>
    <w:p>
      <w:pPr>
        <w:pStyle w:val="NormalText"/>
        <w:numPr>
          <w:ilvl w:val="0"/>
          <w:numId w:val="28"/>
        </w:numPr>
        <w:rPr>
          <w:lang w:val="en-US"/>
        </w:rPr>
      </w:pPr>
      <w:r>
        <w:rPr>
          <w:lang w:val="en-US"/>
        </w:rPr>
        <w:t xml:space="preserve"> </w:t>
      </w:r>
      <w:r>
        <w:rPr>
          <w:lang w:val="en-US"/>
        </w:rPr>
        <w:t xml:space="preserve">Младите са по-самотни, с по-малко приятели, макар и да прекарват повече време с тях от старите. </w:t>
      </w:r>
    </w:p>
    <w:p>
      <w:pPr>
        <w:pStyle w:val="NormalText"/>
        <w:numPr>
          <w:ilvl w:val="0"/>
          <w:numId w:val="28"/>
        </w:numPr>
        <w:rPr>
          <w:lang w:val="en-US"/>
        </w:rPr>
      </w:pPr>
      <w:r>
        <w:rPr>
          <w:lang w:val="en-US"/>
        </w:rPr>
        <w:t xml:space="preserve"> </w:t>
      </w:r>
      <w:r>
        <w:rPr>
          <w:lang w:val="en-US"/>
        </w:rPr>
        <w:t xml:space="preserve">От старите хора, живеещи сами, само </w:t>
        <w:tab/>
        <w:t xml:space="preserve">15% се чувстват самотни. </w:t>
      </w:r>
    </w:p>
    <w:p>
      <w:pPr>
        <w:pStyle w:val="NormalText"/>
        <w:numPr>
          <w:ilvl w:val="0"/>
          <w:numId w:val="28"/>
        </w:numPr>
        <w:rPr>
          <w:lang w:val="en-US"/>
        </w:rPr>
      </w:pPr>
      <w:r>
        <w:rPr>
          <w:lang w:val="en-US"/>
        </w:rPr>
        <w:t xml:space="preserve"> </w:t>
      </w:r>
      <w:r>
        <w:rPr>
          <w:lang w:val="en-US"/>
        </w:rPr>
        <w:t>Отчаянието като следствие от самотата е най-типично за възрастните хора, чиито родители са били разведени и за тези, които сами са разведени.</w:t>
      </w:r>
    </w:p>
    <w:p>
      <w:pPr>
        <w:pStyle w:val="NormalText"/>
        <w:numPr>
          <w:ilvl w:val="0"/>
          <w:numId w:val="28"/>
        </w:numPr>
        <w:rPr>
          <w:lang w:val="en-US"/>
        </w:rPr>
      </w:pPr>
      <w:r>
        <w:rPr>
          <w:lang w:val="en-US"/>
        </w:rPr>
        <w:t xml:space="preserve"> </w:t>
      </w:r>
      <w:r>
        <w:rPr>
          <w:lang w:val="en-US"/>
        </w:rPr>
        <w:t>От хората, по-млади от 18 г., 79% са понякога и даже често самотни, от тези от 45-54 г. – 53%, над 55 г. – 37%.</w:t>
      </w:r>
    </w:p>
    <w:p>
      <w:pPr>
        <w:pStyle w:val="NormalText"/>
        <w:numPr>
          <w:ilvl w:val="0"/>
          <w:numId w:val="28"/>
        </w:numPr>
        <w:rPr>
          <w:lang w:val="en-US"/>
        </w:rPr>
      </w:pPr>
      <w:r>
        <w:rPr>
          <w:lang w:val="en-US"/>
        </w:rPr>
        <w:t xml:space="preserve"> </w:t>
      </w:r>
      <w:r>
        <w:rPr>
          <w:lang w:val="en-US"/>
        </w:rPr>
        <w:t>Тези, които изпитват временна самота, преди която са имали удовлетворителни междуличностни отношения в сравнение с тези, които постоянно изпитват самота, излизат по-лесно от кризата.</w:t>
      </w:r>
    </w:p>
    <w:p>
      <w:pPr>
        <w:pStyle w:val="NormalText"/>
        <w:numPr>
          <w:ilvl w:val="0"/>
          <w:numId w:val="28"/>
        </w:numPr>
        <w:rPr>
          <w:lang w:val="en-US"/>
        </w:rPr>
      </w:pPr>
      <w:r>
        <w:rPr>
          <w:lang w:val="en-US"/>
        </w:rPr>
        <w:t xml:space="preserve"> </w:t>
      </w:r>
      <w:r>
        <w:rPr>
          <w:lang w:val="en-US"/>
        </w:rPr>
        <w:t>Самотните хора са склонни да обичат другите по-малко от несамотните.</w:t>
      </w:r>
    </w:p>
    <w:p>
      <w:pPr>
        <w:pStyle w:val="NormalText"/>
        <w:numPr>
          <w:ilvl w:val="0"/>
          <w:numId w:val="28"/>
        </w:numPr>
        <w:rPr>
          <w:lang w:val="en-US"/>
        </w:rPr>
      </w:pPr>
      <w:r>
        <w:rPr>
          <w:lang w:val="en-US"/>
        </w:rPr>
        <w:t xml:space="preserve"> </w:t>
      </w:r>
      <w:r>
        <w:rPr>
          <w:lang w:val="en-US"/>
        </w:rPr>
        <w:t>Вярващите, че животът им има цел и смисъл са по-малко предразположени към самота.</w:t>
      </w:r>
    </w:p>
    <w:p>
      <w:pPr>
        <w:pStyle w:val="NormalText"/>
        <w:numPr>
          <w:ilvl w:val="0"/>
          <w:numId w:val="28"/>
        </w:numPr>
        <w:rPr>
          <w:lang w:val="en-US"/>
        </w:rPr>
      </w:pPr>
      <w:r>
        <w:rPr>
          <w:lang w:val="en-US"/>
        </w:rPr>
        <w:t xml:space="preserve"> </w:t>
      </w:r>
      <w:r>
        <w:rPr>
          <w:lang w:val="en-US"/>
        </w:rPr>
        <w:t xml:space="preserve">Съществува определена връзка между пола и типа личност. Степента на екстравертност при жените е по-висока. </w:t>
      </w:r>
    </w:p>
    <w:p>
      <w:pPr>
        <w:pStyle w:val="NormalText"/>
        <w:numPr>
          <w:ilvl w:val="0"/>
          <w:numId w:val="28"/>
        </w:numPr>
        <w:rPr>
          <w:lang w:val="en-US"/>
        </w:rPr>
      </w:pPr>
      <w:r>
        <w:rPr>
          <w:lang w:val="en-US"/>
        </w:rPr>
        <w:t xml:space="preserve"> </w:t>
      </w:r>
      <w:r>
        <w:rPr>
          <w:lang w:val="en-US"/>
        </w:rPr>
        <w:t>Пространствената мобилност не влияе върху самотността на възрастните.</w:t>
      </w:r>
    </w:p>
    <w:p>
      <w:pPr>
        <w:pStyle w:val="NormalText"/>
        <w:numPr>
          <w:ilvl w:val="0"/>
          <w:numId w:val="28"/>
        </w:numPr>
        <w:rPr>
          <w:lang w:val="en-US"/>
        </w:rPr>
      </w:pPr>
      <w:r>
        <w:rPr>
          <w:lang w:val="en-US"/>
        </w:rPr>
        <w:t xml:space="preserve"> </w:t>
      </w:r>
      <w:r>
        <w:rPr>
          <w:lang w:val="en-US"/>
        </w:rPr>
        <w:t xml:space="preserve">Индивиди, които приемат или са принудени да приемат вътрешни стабилни и неконтролируеми атрибути или обяснения за самотата си (напр. “Мен не ме обичат”) скоро се отказват  от опитите си да установят удовлетворяващи ги връзки и изпадат в печално-пасивно състояние. </w:t>
      </w:r>
    </w:p>
    <w:p>
      <w:pPr>
        <w:pStyle w:val="NormalText"/>
        <w:numPr>
          <w:ilvl w:val="0"/>
          <w:numId w:val="28"/>
        </w:numPr>
        <w:rPr>
          <w:lang w:val="en-US"/>
        </w:rPr>
      </w:pPr>
      <w:r>
        <w:rPr>
          <w:lang w:val="en-US"/>
        </w:rPr>
        <w:t xml:space="preserve"> </w:t>
      </w:r>
      <w:r>
        <w:rPr>
          <w:lang w:val="en-US"/>
        </w:rPr>
        <w:t xml:space="preserve">Хроничният страх от раздяла прави индивида по-уязвим в житейските обстоятелства, което може да стане причина за самотата. </w:t>
      </w:r>
    </w:p>
    <w:p>
      <w:pPr>
        <w:pStyle w:val="NormalText"/>
        <w:numPr>
          <w:ilvl w:val="0"/>
          <w:numId w:val="28"/>
        </w:numPr>
        <w:rPr>
          <w:lang w:val="en-US"/>
        </w:rPr>
      </w:pPr>
      <w:r>
        <w:rPr>
          <w:lang w:val="en-US"/>
        </w:rPr>
        <w:t xml:space="preserve"> </w:t>
      </w:r>
      <w:r>
        <w:rPr>
          <w:lang w:val="en-US"/>
        </w:rPr>
        <w:t xml:space="preserve">Самотата в зряла възраст не е свързана с количеството години, прекарани в предишното съобщество или с количеството премествания на местоживеенето и местоработата в детството или по-късно. </w:t>
      </w:r>
    </w:p>
    <w:p>
      <w:pPr>
        <w:pStyle w:val="NormalText"/>
        <w:numPr>
          <w:ilvl w:val="0"/>
          <w:numId w:val="28"/>
        </w:numPr>
        <w:rPr>
          <w:lang w:val="en-US"/>
        </w:rPr>
      </w:pPr>
      <w:r>
        <w:rPr>
          <w:lang w:val="en-US"/>
        </w:rPr>
        <w:t xml:space="preserve"> </w:t>
      </w:r>
      <w:r>
        <w:rPr>
          <w:lang w:val="en-US"/>
        </w:rPr>
        <w:t>Хората, живеещи в относителна изолация, не са така самотни, както тези, които”живеят в лоното на голямото семейство”.</w:t>
      </w:r>
    </w:p>
    <w:p>
      <w:pPr>
        <w:pStyle w:val="NormalText"/>
        <w:numPr>
          <w:ilvl w:val="0"/>
          <w:numId w:val="28"/>
        </w:numPr>
        <w:rPr>
          <w:lang w:val="en-US"/>
        </w:rPr>
      </w:pPr>
      <w:r>
        <w:rPr>
          <w:lang w:val="en-US"/>
        </w:rPr>
        <w:t xml:space="preserve"> </w:t>
      </w:r>
      <w:r>
        <w:rPr>
          <w:lang w:val="en-US"/>
        </w:rPr>
        <w:t>В обяснението за самотата загубата на любим човек е по-значима, отколкото социалната изолация на индивида.</w:t>
      </w:r>
    </w:p>
    <w:p>
      <w:pPr>
        <w:pStyle w:val="NormalText"/>
        <w:numPr>
          <w:ilvl w:val="0"/>
          <w:numId w:val="28"/>
        </w:numPr>
        <w:rPr>
          <w:lang w:val="en-US"/>
        </w:rPr>
      </w:pPr>
      <w:r>
        <w:rPr>
          <w:lang w:val="en-US"/>
        </w:rPr>
        <w:t xml:space="preserve"> </w:t>
      </w:r>
      <w:r>
        <w:rPr>
          <w:lang w:val="en-US"/>
        </w:rPr>
        <w:t xml:space="preserve">Самотникът запазва в по-голяма степен ориентацията върху себе си, повече говори за себе  си, задава по-малко въпроси, по-често сменя темата на разговора, по-бавно реагира на каквото и да е. Той  по-често оценява негативно себе си и другите, съсредоточава се върху своите вътрешни преживявания, има повишена тревожност и чувствителност, ниско самоуважение. Много често интерпретира неправилно враждебността или добрите намерения у другите. </w:t>
      </w:r>
    </w:p>
    <w:p>
      <w:pPr>
        <w:pStyle w:val="NormalText"/>
        <w:ind w:hanging="0"/>
        <w:rPr>
          <w:lang w:val="en-US"/>
        </w:rPr>
      </w:pPr>
      <w:r>
        <w:rPr>
          <w:lang w:val="en-US"/>
        </w:rPr>
        <w:t xml:space="preserve">          </w:t>
      </w:r>
      <w:r>
        <w:rPr>
          <w:lang w:val="en-US"/>
        </w:rPr>
        <w:t>В литературата все още няма точно и еднозначно определение на понятието “самотност” при старите хора. Обикновено в тази категория се причисляват всички лица в пенсионна възраст, живеещи без обкръжение на деца, внуци и близки. Към факторите за нарастващата самотност  на първо място се нареждат преждевременната смърт на единия от брачните партньори, миграцията на децата към  големите градове, формирането на нов модел  на семейство само с две поколения, стремежът към самостоятелен начин на живот, възникването на нови ценностни отношения между членовете на трите поколения в семейството и пр.</w:t>
      </w:r>
    </w:p>
    <w:p>
      <w:pPr>
        <w:pStyle w:val="NormalText"/>
        <w:ind w:hanging="0"/>
        <w:rPr/>
      </w:pPr>
      <w:r>
        <w:rPr>
          <w:lang w:val="en-US"/>
        </w:rPr>
        <w:t xml:space="preserve">        </w:t>
      </w:r>
      <w:r>
        <w:rPr>
          <w:lang w:val="en-US"/>
        </w:rPr>
        <w:t xml:space="preserve">През 1977 г. Н.Н. </w:t>
      </w:r>
      <w:r>
        <w:rPr>
          <w:b/>
          <w:lang w:val="en-US"/>
        </w:rPr>
        <w:t>Лакиза-Сачук</w:t>
      </w:r>
      <w:r>
        <w:rPr>
          <w:lang w:val="en-US"/>
        </w:rPr>
        <w:t xml:space="preserve"> въвежда специфичен индекс за “равнище на самотност”, който отразява поцент на самотност сред лицата над 50-годишна възраст.  Тя  изследва самотата при лицата над 60-годишна възраст. Според нея показателят за самотност при мъжете над 60-годишна възраст, в сравнение с този на 40-44 годишните е четири пъти по-висок, а при жените – шест пъти. Този показател за жените в сравнение с мъжете е четири-пет пъти по-висок в градовете и осем пъти в селата. Като основна причина за самотността тя изтъква голямото вдовство при жените  след 50-годишна възраст в сравнение с мъжете (10:4) и високата смъртност при мъжете. Другите причини са свързани с разпадането на голямото семейство, когато младото поколение създаде свое семейство и се отдели от родителите си (цит. по 54, с. 236 и сл)..</w:t>
      </w:r>
    </w:p>
    <w:p>
      <w:pPr>
        <w:pStyle w:val="NormalText"/>
        <w:ind w:hanging="0"/>
        <w:rPr/>
      </w:pPr>
      <w:r>
        <w:rPr>
          <w:lang w:val="en-US"/>
        </w:rPr>
        <w:t xml:space="preserve">        </w:t>
      </w:r>
      <w:r>
        <w:rPr>
          <w:lang w:val="en-US"/>
        </w:rPr>
        <w:t xml:space="preserve">През същия период (1977 г.) Л. </w:t>
      </w:r>
      <w:r>
        <w:rPr>
          <w:b/>
          <w:lang w:val="en-US"/>
        </w:rPr>
        <w:t>Чуйко</w:t>
      </w:r>
      <w:r>
        <w:rPr>
          <w:lang w:val="en-US"/>
        </w:rPr>
        <w:t xml:space="preserve"> изследва влиянието  на разводите върху самотата. Той установява, че относителният дял на разводите в градовете е по-висок, в сравнение със селата и повторните бракове не могат да коригират показателя самотност, особено за жените. Възможността за встъпване във втори брак е 9,5 пъти по-голяма за мъжете в сравнение с тази при жените. По-ниските коефиценти за самотност при мъжете се обясняват със стремежа им към повторни бракове, който до голяма степен се обуславя и от психологически мотиви за избягване от самотата след раздялата с брачния партньор и прекъсването на връзките с децата (пак там). </w:t>
      </w:r>
    </w:p>
    <w:p>
      <w:pPr>
        <w:pStyle w:val="NormalText"/>
        <w:ind w:hanging="0"/>
        <w:rPr>
          <w:lang w:val="en-US"/>
        </w:rPr>
      </w:pPr>
      <w:r>
        <w:rPr>
          <w:lang w:val="en-US"/>
        </w:rPr>
        <w:t xml:space="preserve">        </w:t>
      </w:r>
      <w:r>
        <w:rPr>
          <w:lang w:val="en-US"/>
        </w:rPr>
        <w:t xml:space="preserve">От проведени анкети  с лица от третата възраст без деца или живеещи отделно от тях, както и с настанени в Домове за стари хора на въпросите дали се чувстват самотни и в какво се изразява тяхната самота отговорите не са еднозначни. Поради това не би могло да се направят каквито и да са категорични изводи, без да се вземе под внимание  конкретната възраст на анкетираните, както и влиянието на множеството от фактори и условия върху техните мнения. </w:t>
      </w:r>
    </w:p>
    <w:p>
      <w:pPr>
        <w:pStyle w:val="NormalText"/>
        <w:ind w:hanging="0"/>
        <w:rPr>
          <w:lang w:val="en-US"/>
        </w:rPr>
      </w:pPr>
      <w:r>
        <w:rPr>
          <w:lang w:val="en-US"/>
        </w:rPr>
        <w:t xml:space="preserve">        </w:t>
      </w:r>
      <w:r>
        <w:rPr>
          <w:lang w:val="en-US"/>
        </w:rPr>
        <w:t xml:space="preserve">Безспорна е голямата привързаност на стария човек към жилището си, дори и тогава, когато то не му предлага комфортни условия за живот. Нарастващата със старостта интровертираност превръща жилището от потребност на бита в основен фактор за соматично и психично благополучие на старите хора. Не са редки случаите, когато настанените в старчески домове лица изпадат много бързо в тъга и дезадаптация заради раздялата и загубата на жилището. То, жилището, става   главен фактор за съхраняване на здравето, за укрепване на психиката на стария човек. То е неговото минало, мило и близко, свързано с децата, с приятелите и близките, твърде често строено с мечти и надежди. Много често напускането на жилището е значима причина за нарушаване на семейната солидарност. </w:t>
      </w:r>
    </w:p>
    <w:p>
      <w:pPr>
        <w:pStyle w:val="NormalText"/>
        <w:ind w:hanging="0"/>
        <w:rPr>
          <w:lang w:val="en-US"/>
        </w:rPr>
      </w:pPr>
      <w:r>
        <w:rPr>
          <w:lang w:val="en-US"/>
        </w:rPr>
        <w:t xml:space="preserve">         </w:t>
      </w:r>
      <w:r>
        <w:rPr>
          <w:lang w:val="en-US"/>
        </w:rPr>
        <w:t xml:space="preserve">Старите хора имат първостепенна нужда от психоклимата на задружното семейство, от емоционалния заряд на радостта и сигурността в семейството, от усещането за полезност на техния труд в домакинството. Семейните взаимоотношения и ролята, която старите хора изпълняват в семейството, могат да компенсират до голяма степен загубата на професионалните и социалните контакти в резултат на пенсионирането и намаляващата социална активност. Активният и наситен с емоции живот на старите хора в семейството е значителен фактор за тяхното самочувствие, усещане за полезност и творческо дълголетие. Общуването  им с младите хора има най-голям заряд за  социалната им  адаптация. В това отношение от по-специални   грижи се нуждаят самотните и болните хора от третата възраст.  </w:t>
      </w:r>
    </w:p>
    <w:p>
      <w:pPr>
        <w:pStyle w:val="TableHeading2"/>
        <w:rPr>
          <w:b w:val="false"/>
          <w:b w:val="false"/>
          <w:lang w:val="en-US"/>
        </w:rPr>
      </w:pPr>
      <w:r>
        <w:rPr>
          <w:b w:val="false"/>
          <w:lang w:val="en-US"/>
        </w:rPr>
      </w:r>
    </w:p>
    <w:p>
      <w:pPr>
        <w:pStyle w:val="NormalText"/>
        <w:rPr>
          <w:b/>
          <w:b/>
        </w:rPr>
      </w:pPr>
      <w:r>
        <w:rPr>
          <w:b/>
        </w:rPr>
      </w:r>
      <w:r>
        <w:br w:type="page"/>
      </w:r>
    </w:p>
    <w:p>
      <w:pPr>
        <w:pStyle w:val="NormalText"/>
        <w:rPr/>
      </w:pPr>
      <w:r>
        <w:rPr/>
      </w:r>
    </w:p>
    <w:p>
      <w:pPr>
        <w:pStyle w:val="NormalText"/>
        <w:rPr/>
      </w:pPr>
      <w:r>
        <w:rPr/>
      </w:r>
    </w:p>
    <w:p>
      <w:pPr>
        <w:pStyle w:val="Heading1"/>
        <w:rPr/>
      </w:pPr>
      <w:bookmarkStart w:id="34" w:name="__RefHeading___Toc89859695"/>
      <w:bookmarkEnd w:id="34"/>
      <w:r>
        <w:rPr/>
        <w:t>ДЕВЕТА ТЕМА</w:t>
        <w:br/>
        <w:t>СОЦИАЛНО-ПРАКТИЧЕСКИ ОСНОВИ НА ГЕРАГОГИКАТА</w:t>
      </w:r>
    </w:p>
    <w:p>
      <w:pPr>
        <w:pStyle w:val="Heading2"/>
        <w:rPr/>
      </w:pPr>
      <w:bookmarkStart w:id="35" w:name="__RefHeading___Toc89859696"/>
      <w:bookmarkEnd w:id="35"/>
      <w:r>
        <w:rPr/>
        <w:t>9.1. Необходимост от подготовка за старостта</w:t>
      </w:r>
    </w:p>
    <w:p>
      <w:pPr>
        <w:pStyle w:val="NormalText"/>
        <w:rPr/>
      </w:pPr>
      <w:r>
        <w:rPr/>
        <w:t xml:space="preserve">През всички минали времена старостта е била възприемана като най-трудния етап от живота на човека, като достатъчно тежко бреме. В съзнанието му тя се откроявала като изпитание, при което постепенната загуба на силите върви успоредно с лишенията от удоволствията на живота и мисълта за близката смърт. </w:t>
      </w:r>
      <w:r>
        <w:rPr>
          <w:b/>
          <w:i/>
        </w:rPr>
        <w:t>“Животът</w:t>
      </w:r>
      <w:r>
        <w:rPr>
          <w:i/>
        </w:rPr>
        <w:t xml:space="preserve"> – </w:t>
      </w:r>
      <w:r>
        <w:rPr/>
        <w:t>посочва Цицерон</w:t>
      </w:r>
      <w:r>
        <w:rPr>
          <w:i/>
        </w:rPr>
        <w:t xml:space="preserve"> – </w:t>
      </w:r>
      <w:r>
        <w:rPr>
          <w:b/>
          <w:i/>
        </w:rPr>
        <w:t>като всичко останало има своя край. Той е, така да се каже, една драма, в която старостта е последното действие</w:t>
      </w:r>
      <w:r>
        <w:rPr>
          <w:i/>
        </w:rPr>
        <w:t>.”</w:t>
      </w:r>
    </w:p>
    <w:p>
      <w:pPr>
        <w:pStyle w:val="NormalText"/>
        <w:rPr/>
      </w:pPr>
      <w:r>
        <w:rPr/>
        <w:t>У всеки човек възникват кризи от вътрешно психическо естество, но най-обезпокоителни те са при хората в напреднала и старческа възраст. В резултат на очевидното снижение на равнището на психическите им възможности тези лица  по-слабо или по-бавно се приспособяват към новите условия. Вероятностните модели на поведение на хората от третата възраст се определят от способността да се оценяват многобройните по вид и степен психични кризи, предизвикани от този възрастов цикъл.</w:t>
      </w:r>
    </w:p>
    <w:p>
      <w:pPr>
        <w:pStyle w:val="NormalText"/>
        <w:rPr/>
      </w:pPr>
      <w:r>
        <w:rPr/>
        <w:t>Благодарение на общото повишаване на жизненото равнище и хигиенните условия на населението, на ефикасната борба със заболяванията и повишената обща и здравна култура на хората средната продължителност на живота в един сравнително кратък период от време “отскочи” значително и продължава да се увеличава. На фона на този напредък се получи сравнително изоставане в проучванията на социалните проблеми и потребности на старите хора.</w:t>
      </w:r>
    </w:p>
    <w:p>
      <w:pPr>
        <w:pStyle w:val="NormalText"/>
        <w:rPr/>
      </w:pPr>
      <w:r>
        <w:rPr/>
        <w:t xml:space="preserve">Малцина са тези, които успяват да се приспособят към неумолимите промени и стеснените възможности на старостта.  С основание може да се твърди, че големите трудности през старостта идват в значителна степен от незнанието и неумението да се живее, което и в резултат от </w:t>
      </w:r>
      <w:r>
        <w:rPr>
          <w:b/>
        </w:rPr>
        <w:t>липсата на подготовка за старостта.</w:t>
      </w:r>
    </w:p>
    <w:p>
      <w:pPr>
        <w:pStyle w:val="Normal"/>
        <w:rPr/>
      </w:pPr>
      <w:r>
        <w:rPr/>
        <w:t>Кога трябва да започне тази подготовка и какво трябва да включва тя?</w:t>
      </w:r>
    </w:p>
    <w:p>
      <w:pPr>
        <w:pStyle w:val="NormalText"/>
        <w:rPr/>
      </w:pPr>
      <w:r>
        <w:rPr/>
        <w:t>Всички са единни, че подготовката е толкова по-ефикасна, колкото по-рано се започне с нея. Според някои учени най-добрата подготовка би била тази, която започва още в детската или юношеската възраст, тъй като според тях подготовката за живота трябва да включва и подготовка за активна старост. Разбира се, много по-голямо внимание трябва да се отделя през периода на зрялата възраст.</w:t>
      </w:r>
    </w:p>
    <w:p>
      <w:pPr>
        <w:pStyle w:val="NormalText"/>
        <w:rPr/>
      </w:pPr>
      <w:r>
        <w:rPr/>
        <w:t xml:space="preserve">Подготовката за старостта се състои преди всичко в предпазването и лечението на заболявания в тази възраст. Опазването на здравето зависи в много отношения от индивидуалния начина на живот, от личната отговорност за поддържане на здравето. </w:t>
      </w:r>
      <w:r>
        <w:rPr>
          <w:b/>
        </w:rPr>
        <w:t xml:space="preserve">Рационалният начин на живот </w:t>
      </w:r>
      <w:r>
        <w:rPr/>
        <w:t xml:space="preserve">е най-важното условие за здраве и активно дълголетие. </w:t>
      </w:r>
    </w:p>
    <w:p>
      <w:pPr>
        <w:pStyle w:val="NormalText"/>
        <w:rPr>
          <w:lang w:val="en-US"/>
        </w:rPr>
      </w:pPr>
      <w:r>
        <w:rPr/>
        <w:t xml:space="preserve">Важна роля в предпазването от заболявания при възрастни лица играят </w:t>
      </w:r>
      <w:r>
        <w:rPr>
          <w:b/>
        </w:rPr>
        <w:t xml:space="preserve">подобренията в условията на живот. </w:t>
      </w:r>
      <w:r>
        <w:rPr/>
        <w:t>Подготовката за старостта, ако започва още преди началото на стареенето, ще позволи да бъдат повлияни благоприятно някои от проявите на стареенето, преди това да е станало трудно.</w:t>
      </w:r>
    </w:p>
    <w:p>
      <w:pPr>
        <w:pStyle w:val="NormalText"/>
        <w:rPr/>
      </w:pPr>
      <w:r>
        <w:rPr/>
        <w:t xml:space="preserve">Съвременният човек страда от липсата на достатъчен </w:t>
      </w:r>
      <w:r>
        <w:rPr>
          <w:b/>
        </w:rPr>
        <w:t xml:space="preserve">контакт с природата, </w:t>
      </w:r>
      <w:r>
        <w:rPr/>
        <w:t xml:space="preserve">което го прави неустойчив към заболявания. Това налага провеждането на закалителни мероприятия – водни и въздушни процедури, слънчеви бани, физически упражнения, туризъм. Както вече посочихме, важен фактор, влияещ на остаряването е </w:t>
      </w:r>
      <w:r>
        <w:rPr>
          <w:b/>
        </w:rPr>
        <w:t xml:space="preserve">храненето. </w:t>
      </w:r>
      <w:r>
        <w:rPr/>
        <w:t>Възрастните хора не трябва да допускат достигане на наднормено тегло.</w:t>
      </w:r>
      <w:r>
        <w:rPr>
          <w:b/>
        </w:rPr>
        <w:t xml:space="preserve"> </w:t>
      </w:r>
      <w:r>
        <w:rPr/>
        <w:t xml:space="preserve">На хората, обичащи обилно хранене, е полезно да се напомнят мъдрите слова на </w:t>
      </w:r>
      <w:r>
        <w:rPr>
          <w:b/>
        </w:rPr>
        <w:t>Сократ:</w:t>
      </w:r>
      <w:r>
        <w:rPr/>
        <w:t xml:space="preserve"> </w:t>
      </w:r>
      <w:r>
        <w:rPr>
          <w:b/>
          <w:i/>
        </w:rPr>
        <w:t>“Ние</w:t>
      </w:r>
      <w:r>
        <w:rPr>
          <w:i/>
        </w:rPr>
        <w:t xml:space="preserve"> </w:t>
      </w:r>
      <w:r>
        <w:rPr>
          <w:b/>
          <w:i/>
        </w:rPr>
        <w:t>живеем не за да ядем, а ядем, за да живеем!”</w:t>
      </w:r>
      <w:r>
        <w:rPr>
          <w:i/>
        </w:rPr>
        <w:t xml:space="preserve"> </w:t>
      </w:r>
      <w:r>
        <w:rPr/>
        <w:t>Рационалното хранене изисква намаляване калорийността на храната, ограничаване на тлъстините и въглехидратите и включване в менюто на повече плодове, млечни продукти, пълнозърнест хляб, растително масло, нетлъсто месо и риба, избягване на солените храни и алкохола. Целесъобразно е веднъж седмично да се прилага разтоварваща диета.</w:t>
      </w:r>
    </w:p>
    <w:p>
      <w:pPr>
        <w:pStyle w:val="NormalText"/>
        <w:rPr/>
      </w:pPr>
      <w:r>
        <w:rPr/>
        <w:t xml:space="preserve">Особено значение като фактор, който води до преждевременно остаряване, се отдава на заболяванията. Затова безспорно най-доброто е извършването на периодични здравни прегледи, прилагане на </w:t>
      </w:r>
      <w:r>
        <w:rPr>
          <w:b/>
        </w:rPr>
        <w:t xml:space="preserve">първична профилактика </w:t>
      </w:r>
      <w:r>
        <w:rPr/>
        <w:t xml:space="preserve">на заболяванията след четвъртото – петото десетилетие с цел ранното откриване на болестите, които впоследствие стават хронични. Задачата пък на </w:t>
      </w:r>
      <w:r>
        <w:rPr>
          <w:b/>
        </w:rPr>
        <w:t xml:space="preserve">вторичната профилактика </w:t>
      </w:r>
      <w:r>
        <w:rPr/>
        <w:t>е лечението на болестните състояния в техните най-ранни форми, спазването на определен режим на живот и поведение.</w:t>
      </w:r>
    </w:p>
    <w:p>
      <w:pPr>
        <w:pStyle w:val="NormalText"/>
        <w:rPr/>
      </w:pPr>
      <w:r>
        <w:rPr/>
        <w:t xml:space="preserve">Много от здравните проблеми на старите хора в България са </w:t>
      </w:r>
      <w:r>
        <w:rPr>
          <w:b/>
          <w:i/>
        </w:rPr>
        <w:t>отражение на</w:t>
      </w:r>
      <w:r>
        <w:rPr>
          <w:i/>
        </w:rPr>
        <w:t xml:space="preserve"> </w:t>
      </w:r>
      <w:r>
        <w:rPr>
          <w:b/>
          <w:i/>
        </w:rPr>
        <w:t>средата,</w:t>
      </w:r>
      <w:r>
        <w:rPr>
          <w:i/>
        </w:rPr>
        <w:t xml:space="preserve"> </w:t>
      </w:r>
      <w:r>
        <w:rPr/>
        <w:t xml:space="preserve">в която са живели, и на </w:t>
      </w:r>
      <w:r>
        <w:rPr>
          <w:b/>
          <w:i/>
        </w:rPr>
        <w:t>стила им на живот</w:t>
      </w:r>
      <w:r>
        <w:rPr>
          <w:i/>
        </w:rPr>
        <w:t xml:space="preserve">. </w:t>
      </w:r>
      <w:r>
        <w:rPr/>
        <w:t xml:space="preserve">Когато болестите не могат вече да бъдат избегнати с помощта на предпазни мерки, </w:t>
      </w:r>
      <w:r>
        <w:rPr>
          <w:b/>
          <w:i/>
        </w:rPr>
        <w:t>ранната диагноза и лечението</w:t>
      </w:r>
      <w:r>
        <w:rPr>
          <w:i/>
        </w:rPr>
        <w:t xml:space="preserve"> </w:t>
      </w:r>
      <w:r>
        <w:rPr/>
        <w:t>много често са в състояние да предпазят от сериозни увреждания, да сведат до минимум болката, зависимостта и емоционалното натоварване.</w:t>
      </w:r>
    </w:p>
    <w:p>
      <w:pPr>
        <w:pStyle w:val="NormalText"/>
        <w:rPr/>
      </w:pPr>
      <w:r>
        <w:rPr/>
        <w:t xml:space="preserve">Предпазването на човека от преждевременно стареене е важен социален проблем. В това отношение особено значение има </w:t>
      </w:r>
      <w:r>
        <w:rPr>
          <w:b/>
        </w:rPr>
        <w:t xml:space="preserve">профилактиката на болестите на старостта. </w:t>
      </w:r>
      <w:r>
        <w:rPr/>
        <w:t>Както вече посочихме старите хора боледуват по-често в сравнение с по-младите. Обикновено заболяванията им протичат хронично и могат да бъдат едновременно няколко. Според някои изследвания повече от 10% от лицата над 60-годишна възраст имат едно заболяване, 43,1 % страдат от две до три заболявания и 35,2% - от повече от три заболявания.</w:t>
      </w:r>
    </w:p>
    <w:p>
      <w:pPr>
        <w:pStyle w:val="NormalText"/>
        <w:rPr/>
      </w:pPr>
      <w:r>
        <w:rPr/>
        <w:t xml:space="preserve">Кои са основните болести, от които най-често умират лицата в третата възраст? Мнозина от лекарите използват израза “квартет на смъртта”. Така се казва за пациент, който едновременно страда от хипертония, исхемична болест на сърцето, атеросклероза и диабет. А квартет на смъртта се нарича, защото всяко развиващо се заболяване съществува самостоятелно и едновременно с това усилва патологичното действие на останалите три болести. Не по-малко опасно е и т.нар.”трио на смъртта”, което обединява хипертонията, атеросклерозата и исхемичната болест на сърцето. </w:t>
      </w:r>
    </w:p>
    <w:p>
      <w:pPr>
        <w:pStyle w:val="NormalText"/>
        <w:rPr/>
      </w:pPr>
      <w:r>
        <w:rPr/>
        <w:t>Установено е, че атеросклерозата е най-значимият фактор за преждевременното стареене. В структурата на заболяваемостта на хората над 60-годишна възраст първо място заемат сърдечно-съдовите заболявания, второ място – болестите на нервната система и сетивните органи, трето място – злокачествените новообразувания, следвани от болестите на дихателната, храносмилателната, на пикочно-половата система и др.</w:t>
      </w:r>
    </w:p>
    <w:p>
      <w:pPr>
        <w:pStyle w:val="NormalText"/>
        <w:rPr/>
      </w:pPr>
      <w:r>
        <w:rPr/>
        <w:t>Една от главните причини за предразположение към всякакви заболявания твърде често е емоционалният (психическият) стрес. Ето защо от съществено значение за съхраняване на здравето е психопрофилактиката.</w:t>
      </w:r>
    </w:p>
    <w:p>
      <w:pPr>
        <w:pStyle w:val="NormalText"/>
        <w:rPr/>
      </w:pPr>
      <w:r>
        <w:rPr>
          <w:b/>
        </w:rPr>
        <w:t>Фактори,</w:t>
      </w:r>
      <w:r>
        <w:rPr/>
        <w:t xml:space="preserve"> които благоприятстват за ускорено появяване на негативни явления или препятстват тяхното настъпване са ценностите на личността и свързаните с тях потребности, нагласи, очаквания, отношения. В един случаи ценностите са социално-ориентирани, т.е. насочени са към извършване на нещо добро за другите. Постиженията на личността в това отношение й доставят радост, зареждат я с позитивна душевна енергия, правят я отзивчива към околните, добронамерена. Благородството й среща дружелюбност, признателност и това подкрепление мотивира личността за продуктивна себеотдаденост. Личността се чувства удовлетворена, щастлива. В някои случаи доминират егоистични ценности у личността. Значимо за такива хора  е да се облагодетелствуват, без оглед на това какво причиняват на другите. Проявяват агресивност, недоверие, постоянна подозрителност, страх да не загубят взетото, натрупаното. Алчността им, прогресивно нарастваща с материалните придобивки, не им дава спокойствие, прави ги трайно неудовлетворени, лишава ги от радости.</w:t>
      </w:r>
    </w:p>
    <w:p>
      <w:pPr>
        <w:pStyle w:val="NormalText"/>
        <w:rPr/>
      </w:pPr>
      <w:r>
        <w:rPr/>
        <w:t xml:space="preserve">Голяма е ролята на </w:t>
      </w:r>
      <w:r>
        <w:rPr>
          <w:b/>
        </w:rPr>
        <w:t>социалните фактори</w:t>
      </w:r>
      <w:r>
        <w:rPr/>
        <w:t xml:space="preserve">. Те са многообразни, сложни, укрепващи, положително прогностични за жизнения път на личността или действат угнетяващо и скъсяват дистанцията между началото и края на живота. Голяма е ролята (за качеството и продължителността на живота) на съответствието между типа на нервната система на личността и изискванията на професионалната подготовка, на статуса й в групата, на ролите, в които се изживява, на ценностите, от които се ръководи, на целите, които си поставя, на успехите, които постига или неуспехите, които я съпътстват. Всичко това продължително влияе, гради или руши стабилитета на личността, перспективите на бъдещия и живот. Стара истина е, че помощта е полезна, когато е навреме. Колкото закъсняването е по-голямо, толкова ефектът е по-ограничен. </w:t>
      </w:r>
    </w:p>
    <w:p>
      <w:pPr>
        <w:pStyle w:val="NormalText"/>
        <w:rPr/>
      </w:pPr>
      <w:r>
        <w:rPr/>
        <w:t xml:space="preserve">Към социалните фактори се отнасят още </w:t>
      </w:r>
      <w:r>
        <w:rPr>
          <w:b/>
        </w:rPr>
        <w:t>психическият климат</w:t>
      </w:r>
      <w:r>
        <w:rPr/>
        <w:t xml:space="preserve"> в колектива и в семейството. Конфликтите, недружелюбността, хладните или дори враждебни взаимоотношения, пренебрежението, подценяването постепенно, но сигурно влошават психическото здраве, а с това и перспективите за продължителността на живота на личността. Обратно, взаимността, другарството, уважаването, цененето, поощряването стимулират жизнените сили, възможностите за значими социални изявявания, поддържат устойчива положителна душевна нагласа, която се отразява благотворно върху качеството на индивидуалния живот. Така че съществена страна в професионалното и семейното битие на личността е равнището и характери на личния и статус сред другите, доброто самочувствие, сигурността, увереността, подкрепата. Те съхраняват психофизическото здраве, предпазват от заболявания и при здравословни проблеми оказват мощен лечебен ефект. За да съхрани своето психофизическо здраве всеки човек трябва да изработи в себе си</w:t>
      </w:r>
      <w:r>
        <w:rPr>
          <w:b/>
        </w:rPr>
        <w:t xml:space="preserve"> хуманно и доброжелателно отношение </w:t>
      </w:r>
      <w:r>
        <w:rPr/>
        <w:t xml:space="preserve">към окръжаващите го. Нормалната и спокойна обстановка, добрите взаимоотношения в семейството и извън него способствуват за укрепване на здравето и за удължаване на живота. Необходими са вяра в успеха, добро настроение и оптимизъм. Много ценна е мисълта на Марк </w:t>
      </w:r>
      <w:r>
        <w:rPr>
          <w:b/>
        </w:rPr>
        <w:t>Твен</w:t>
      </w:r>
      <w:r>
        <w:rPr/>
        <w:t xml:space="preserve"> </w:t>
      </w:r>
      <w:r>
        <w:rPr>
          <w:b/>
          <w:i/>
        </w:rPr>
        <w:t>“Бръчките би трябвало да бъдат само следи от минали усмивки.”</w:t>
      </w:r>
    </w:p>
    <w:p>
      <w:pPr>
        <w:pStyle w:val="Heading2"/>
        <w:rPr/>
      </w:pPr>
      <w:bookmarkStart w:id="36" w:name="__RefHeading___Toc89859697"/>
      <w:bookmarkEnd w:id="36"/>
      <w:r>
        <w:rPr/>
        <w:t>9.2. Пенсионирането и някои произтичащи от него промени в живота на човека</w:t>
      </w:r>
    </w:p>
    <w:p>
      <w:pPr>
        <w:pStyle w:val="NormalText"/>
        <w:rPr/>
      </w:pPr>
      <w:r>
        <w:rPr/>
        <w:t>В неудържимия поток на ежедневието и ритъма на творчески търсения “незабелязано се изнизват” годините на младостта и активната (зрялата) възраст. Едва видимите белези на старостта в края на шестото десетилетие изправят човека пред “хребета” на едно ново битие – пенсиониране поради навършена възраст и придобит стаж. Това дава основание на редица учени да разглеждат хората от третата възраст като относително обособена социалнодемографска общност, нуждаеща се от специални грижи. “Доминиращите общи характеристики, произтичащи от еднаквостта на възрастта, от сходството на индивидуалните и социално-психическите особености, от биологическите и нервнофизиологическите черти на организма, налагат задължителното отчитане на социалнодемографския признак като определящ в нейната групова квалификация…Една от отличителните характеристики на съвременните възрастни хора е превръщането им в самостоятелна социално-демографска сила в обществото. Заедно с количествения ръст на тази популация се очертава тенденция на преход от съвкупността на множеството към “съвкупния субект” на третата възраст. В социално-психологическо отношение това означава, че е налице интензивен процес на изграждане “Аз-образа” на възрастния човек. (24, с.53; 86)</w:t>
      </w:r>
    </w:p>
    <w:p>
      <w:pPr>
        <w:pStyle w:val="NormalText"/>
        <w:rPr/>
      </w:pPr>
      <w:r>
        <w:rPr/>
        <w:t>Понятията “</w:t>
      </w:r>
      <w:r>
        <w:rPr>
          <w:b/>
        </w:rPr>
        <w:t>трета възраст</w:t>
      </w:r>
      <w:r>
        <w:rPr/>
        <w:t>” и “</w:t>
      </w:r>
      <w:r>
        <w:rPr>
          <w:b/>
        </w:rPr>
        <w:t>пенсионер</w:t>
      </w:r>
      <w:r>
        <w:rPr/>
        <w:t>” имат много допирни точки, без разбира се да се идентифицират.</w:t>
      </w:r>
    </w:p>
    <w:p>
      <w:pPr>
        <w:pStyle w:val="NormalText"/>
        <w:rPr/>
      </w:pPr>
      <w:r>
        <w:rPr/>
        <w:t>Пенсионирането има твърде широк обхват. То се отличава със своите социално-икономически, юридически, нравствени, психологически и редица други измерения. Пенсионирането независимо дали ще стане точно или по-късно от предвидените в Кодекса за задължителното обществено осигуряване условия променя основно мястото на човека във всички сфери на живота – производството, бита, културата, отдиха и пр. (вж. таблица № 9)</w:t>
      </w:r>
    </w:p>
    <w:p>
      <w:pPr>
        <w:pStyle w:val="TableHeading2"/>
        <w:rPr/>
      </w:pPr>
      <w:r>
        <w:rPr/>
        <w:t>Условия за пенсиониране</w:t>
      </w:r>
    </w:p>
    <w:tbl>
      <w:tblPr>
        <w:tblW w:w="8881" w:type="dxa"/>
        <w:jc w:val="center"/>
        <w:tblInd w:w="0" w:type="dxa"/>
        <w:tblCellMar>
          <w:top w:w="0" w:type="dxa"/>
          <w:left w:w="70" w:type="dxa"/>
          <w:bottom w:w="0" w:type="dxa"/>
          <w:right w:w="70" w:type="dxa"/>
        </w:tblCellMar>
      </w:tblPr>
      <w:tblGrid>
        <w:gridCol w:w="2120"/>
        <w:gridCol w:w="3380"/>
        <w:gridCol w:w="3381"/>
      </w:tblGrid>
      <w:tr>
        <w:trPr/>
        <w:tc>
          <w:tcPr>
            <w:tcW w:w="2120" w:type="dxa"/>
            <w:tcBorders>
              <w:top w:val="single" w:sz="4" w:space="0" w:color="000000"/>
              <w:left w:val="single" w:sz="4" w:space="0" w:color="000000"/>
              <w:bottom w:val="single" w:sz="4" w:space="0" w:color="000000"/>
            </w:tcBorders>
          </w:tcPr>
          <w:p>
            <w:pPr>
              <w:pStyle w:val="Normal"/>
              <w:spacing w:lineRule="auto" w:line="240"/>
              <w:jc w:val="center"/>
              <w:rPr>
                <w:b/>
                <w:b/>
              </w:rPr>
            </w:pPr>
            <w:r>
              <w:rPr>
                <w:b/>
              </w:rPr>
              <w:t>Година</w:t>
            </w:r>
          </w:p>
        </w:tc>
        <w:tc>
          <w:tcPr>
            <w:tcW w:w="3380" w:type="dxa"/>
            <w:tcBorders>
              <w:top w:val="single" w:sz="4" w:space="0" w:color="000000"/>
              <w:left w:val="single" w:sz="4" w:space="0" w:color="000000"/>
              <w:bottom w:val="single" w:sz="4" w:space="0" w:color="000000"/>
            </w:tcBorders>
          </w:tcPr>
          <w:p>
            <w:pPr>
              <w:pStyle w:val="Normal"/>
              <w:spacing w:lineRule="auto" w:line="240"/>
              <w:jc w:val="center"/>
              <w:rPr>
                <w:b/>
                <w:b/>
              </w:rPr>
            </w:pPr>
            <w:r>
              <w:rPr>
                <w:b/>
              </w:rPr>
              <w:t>мъже</w:t>
            </w:r>
          </w:p>
        </w:tc>
        <w:tc>
          <w:tcPr>
            <w:tcW w:w="3381" w:type="dxa"/>
            <w:tcBorders>
              <w:top w:val="single" w:sz="4" w:space="0" w:color="000000"/>
              <w:left w:val="single" w:sz="4" w:space="0" w:color="000000"/>
              <w:bottom w:val="single" w:sz="4" w:space="0" w:color="000000"/>
              <w:right w:val="single" w:sz="4" w:space="0" w:color="000000"/>
            </w:tcBorders>
          </w:tcPr>
          <w:p>
            <w:pPr>
              <w:pStyle w:val="Normal"/>
              <w:spacing w:lineRule="auto" w:line="240"/>
              <w:jc w:val="center"/>
              <w:rPr>
                <w:b/>
                <w:b/>
              </w:rPr>
            </w:pPr>
            <w:r>
              <w:rPr>
                <w:b/>
              </w:rPr>
              <w:t>жени</w:t>
            </w:r>
          </w:p>
        </w:tc>
      </w:tr>
      <w:tr>
        <w:trPr/>
        <w:tc>
          <w:tcPr>
            <w:tcW w:w="2120" w:type="dxa"/>
            <w:tcBorders>
              <w:top w:val="single" w:sz="4" w:space="0" w:color="000000"/>
              <w:left w:val="single" w:sz="4" w:space="0" w:color="000000"/>
              <w:bottom w:val="single" w:sz="4" w:space="0" w:color="000000"/>
            </w:tcBorders>
          </w:tcPr>
          <w:p>
            <w:pPr>
              <w:pStyle w:val="Normal"/>
              <w:tabs>
                <w:tab w:val="clear" w:pos="284"/>
                <w:tab w:val="right" w:pos="1701" w:leader="none"/>
              </w:tabs>
              <w:snapToGrid w:val="false"/>
              <w:spacing w:lineRule="auto" w:line="240"/>
              <w:jc w:val="center"/>
              <w:rPr>
                <w:b/>
                <w:b/>
              </w:rPr>
            </w:pPr>
            <w:r>
              <w:rPr>
                <w:b/>
              </w:rPr>
            </w:r>
          </w:p>
        </w:tc>
        <w:tc>
          <w:tcPr>
            <w:tcW w:w="3380" w:type="dxa"/>
            <w:tcBorders>
              <w:top w:val="single" w:sz="4" w:space="0" w:color="000000"/>
              <w:left w:val="single" w:sz="4" w:space="0" w:color="000000"/>
              <w:bottom w:val="single" w:sz="4" w:space="0" w:color="000000"/>
            </w:tcBorders>
          </w:tcPr>
          <w:p>
            <w:pPr>
              <w:pStyle w:val="Normal"/>
              <w:tabs>
                <w:tab w:val="clear" w:pos="284"/>
                <w:tab w:val="right" w:pos="1701" w:leader="none"/>
              </w:tabs>
              <w:spacing w:lineRule="auto" w:line="240"/>
              <w:jc w:val="center"/>
              <w:rPr>
                <w:b/>
                <w:b/>
                <w:lang w:val="en-US"/>
              </w:rPr>
            </w:pPr>
            <w:r>
              <w:rPr>
                <w:b/>
              </w:rPr>
              <w:t>точки</w:t>
              <w:tab/>
              <w:t xml:space="preserve"> възраст</w:t>
            </w:r>
          </w:p>
        </w:tc>
        <w:tc>
          <w:tcPr>
            <w:tcW w:w="3381" w:type="dxa"/>
            <w:tcBorders>
              <w:top w:val="single" w:sz="4" w:space="0" w:color="000000"/>
              <w:left w:val="single" w:sz="4" w:space="0" w:color="000000"/>
              <w:bottom w:val="single" w:sz="4" w:space="0" w:color="000000"/>
              <w:right w:val="single" w:sz="4" w:space="0" w:color="000000"/>
            </w:tcBorders>
          </w:tcPr>
          <w:p>
            <w:pPr>
              <w:pStyle w:val="Normal"/>
              <w:tabs>
                <w:tab w:val="clear" w:pos="284"/>
                <w:tab w:val="right" w:pos="1701" w:leader="none"/>
              </w:tabs>
              <w:spacing w:lineRule="auto" w:line="240"/>
              <w:jc w:val="center"/>
              <w:rPr/>
            </w:pPr>
            <w:r>
              <w:rPr>
                <w:b/>
              </w:rPr>
              <w:t>точки</w:t>
              <w:tab/>
              <w:t xml:space="preserve"> възраст</w:t>
            </w:r>
          </w:p>
        </w:tc>
      </w:tr>
      <w:tr>
        <w:trPr/>
        <w:tc>
          <w:tcPr>
            <w:tcW w:w="2120" w:type="dxa"/>
            <w:tcBorders>
              <w:top w:val="single" w:sz="4" w:space="0" w:color="000000"/>
              <w:left w:val="single" w:sz="4" w:space="0" w:color="000000"/>
              <w:bottom w:val="single" w:sz="4" w:space="0" w:color="000000"/>
            </w:tcBorders>
          </w:tcPr>
          <w:p>
            <w:pPr>
              <w:pStyle w:val="Normal"/>
              <w:tabs>
                <w:tab w:val="clear" w:pos="284"/>
                <w:tab w:val="right" w:pos="1980" w:leader="none"/>
              </w:tabs>
              <w:spacing w:lineRule="auto" w:line="240"/>
              <w:ind w:left="709" w:hanging="0"/>
              <w:rPr/>
            </w:pPr>
            <w:r>
              <w:rPr/>
              <w:t>2000</w:t>
            </w:r>
          </w:p>
          <w:p>
            <w:pPr>
              <w:pStyle w:val="Normal"/>
              <w:tabs>
                <w:tab w:val="clear" w:pos="284"/>
                <w:tab w:val="right" w:pos="1980" w:leader="none"/>
              </w:tabs>
              <w:spacing w:lineRule="auto" w:line="240"/>
              <w:ind w:left="709" w:hanging="0"/>
              <w:rPr/>
            </w:pPr>
            <w:r>
              <w:rPr/>
              <w:t>2001</w:t>
            </w:r>
          </w:p>
          <w:p>
            <w:pPr>
              <w:pStyle w:val="Normal"/>
              <w:tabs>
                <w:tab w:val="clear" w:pos="284"/>
                <w:tab w:val="right" w:pos="1980" w:leader="none"/>
              </w:tabs>
              <w:spacing w:lineRule="auto" w:line="240"/>
              <w:ind w:left="709" w:hanging="0"/>
              <w:rPr/>
            </w:pPr>
            <w:r>
              <w:rPr/>
              <w:t>2002</w:t>
            </w:r>
          </w:p>
          <w:p>
            <w:pPr>
              <w:pStyle w:val="Normal"/>
              <w:tabs>
                <w:tab w:val="clear" w:pos="284"/>
                <w:tab w:val="right" w:pos="1980" w:leader="none"/>
              </w:tabs>
              <w:spacing w:lineRule="auto" w:line="240"/>
              <w:ind w:left="709" w:hanging="0"/>
              <w:rPr/>
            </w:pPr>
            <w:r>
              <w:rPr/>
              <w:t>2003</w:t>
            </w:r>
          </w:p>
          <w:p>
            <w:pPr>
              <w:pStyle w:val="Normal"/>
              <w:tabs>
                <w:tab w:val="clear" w:pos="284"/>
                <w:tab w:val="right" w:pos="1980" w:leader="none"/>
              </w:tabs>
              <w:spacing w:lineRule="auto" w:line="240"/>
              <w:ind w:left="709" w:hanging="0"/>
              <w:rPr/>
            </w:pPr>
            <w:r>
              <w:rPr/>
              <w:t>2004</w:t>
            </w:r>
          </w:p>
          <w:p>
            <w:pPr>
              <w:pStyle w:val="Normal"/>
              <w:tabs>
                <w:tab w:val="clear" w:pos="284"/>
                <w:tab w:val="right" w:pos="1980" w:leader="none"/>
              </w:tabs>
              <w:spacing w:lineRule="auto" w:line="240"/>
              <w:ind w:left="709" w:hanging="0"/>
              <w:rPr/>
            </w:pPr>
            <w:r>
              <w:rPr/>
              <w:t>2005</w:t>
            </w:r>
          </w:p>
          <w:p>
            <w:pPr>
              <w:pStyle w:val="Normal"/>
              <w:tabs>
                <w:tab w:val="clear" w:pos="284"/>
                <w:tab w:val="right" w:pos="1980" w:leader="none"/>
              </w:tabs>
              <w:spacing w:lineRule="auto" w:line="240"/>
              <w:ind w:left="709" w:hanging="0"/>
              <w:rPr/>
            </w:pPr>
            <w:r>
              <w:rPr/>
              <w:t>2006</w:t>
            </w:r>
          </w:p>
          <w:p>
            <w:pPr>
              <w:pStyle w:val="Normal"/>
              <w:tabs>
                <w:tab w:val="clear" w:pos="284"/>
                <w:tab w:val="right" w:pos="1980" w:leader="none"/>
              </w:tabs>
              <w:spacing w:lineRule="auto" w:line="240"/>
              <w:ind w:left="709" w:hanging="0"/>
              <w:rPr/>
            </w:pPr>
            <w:r>
              <w:rPr/>
              <w:t>2007</w:t>
            </w:r>
          </w:p>
          <w:p>
            <w:pPr>
              <w:pStyle w:val="Normal"/>
              <w:tabs>
                <w:tab w:val="clear" w:pos="284"/>
                <w:tab w:val="right" w:pos="1980" w:leader="none"/>
              </w:tabs>
              <w:spacing w:lineRule="auto" w:line="240"/>
              <w:ind w:left="709" w:hanging="0"/>
              <w:rPr/>
            </w:pPr>
            <w:r>
              <w:rPr/>
              <w:t>2008</w:t>
            </w:r>
          </w:p>
          <w:p>
            <w:pPr>
              <w:pStyle w:val="Normal"/>
              <w:tabs>
                <w:tab w:val="clear" w:pos="284"/>
                <w:tab w:val="right" w:pos="1980" w:leader="none"/>
              </w:tabs>
              <w:spacing w:lineRule="auto" w:line="240"/>
              <w:ind w:left="709" w:hanging="0"/>
              <w:rPr/>
            </w:pPr>
            <w:r>
              <w:rPr/>
              <w:t>2009</w:t>
            </w:r>
          </w:p>
        </w:tc>
        <w:tc>
          <w:tcPr>
            <w:tcW w:w="3380" w:type="dxa"/>
            <w:tcBorders>
              <w:top w:val="single" w:sz="4" w:space="0" w:color="000000"/>
              <w:left w:val="single" w:sz="4" w:space="0" w:color="000000"/>
              <w:bottom w:val="single" w:sz="4" w:space="0" w:color="000000"/>
            </w:tcBorders>
          </w:tcPr>
          <w:p>
            <w:pPr>
              <w:pStyle w:val="Normal"/>
              <w:tabs>
                <w:tab w:val="clear" w:pos="284"/>
                <w:tab w:val="right" w:pos="1980" w:leader="none"/>
              </w:tabs>
              <w:spacing w:lineRule="auto" w:line="240"/>
              <w:ind w:left="709" w:hanging="0"/>
              <w:rPr>
                <w:lang w:val="en-US"/>
              </w:rPr>
            </w:pPr>
            <w:r>
              <w:rPr/>
              <w:t xml:space="preserve"> </w:t>
            </w:r>
            <w:r>
              <w:rPr/>
              <w:t>98</w:t>
              <w:tab/>
              <w:t xml:space="preserve"> 60,5</w:t>
            </w:r>
          </w:p>
          <w:p>
            <w:pPr>
              <w:pStyle w:val="Normal"/>
              <w:tabs>
                <w:tab w:val="clear" w:pos="284"/>
                <w:tab w:val="right" w:pos="1980" w:leader="none"/>
              </w:tabs>
              <w:spacing w:lineRule="auto" w:line="240"/>
              <w:ind w:left="709" w:hanging="0"/>
              <w:rPr/>
            </w:pPr>
            <w:r>
              <w:rPr/>
              <w:t>99</w:t>
              <w:tab/>
              <w:t xml:space="preserve"> 61</w:t>
            </w:r>
          </w:p>
          <w:p>
            <w:pPr>
              <w:pStyle w:val="Normal"/>
              <w:tabs>
                <w:tab w:val="clear" w:pos="284"/>
                <w:tab w:val="right" w:pos="1980" w:leader="none"/>
              </w:tabs>
              <w:spacing w:lineRule="auto" w:line="240"/>
              <w:ind w:left="709" w:hanging="0"/>
              <w:rPr/>
            </w:pPr>
            <w:r>
              <w:rPr/>
              <w:t>100</w:t>
              <w:tab/>
              <w:t>61,5</w:t>
            </w:r>
          </w:p>
          <w:p>
            <w:pPr>
              <w:pStyle w:val="Normal"/>
              <w:tabs>
                <w:tab w:val="clear" w:pos="284"/>
                <w:tab w:val="right" w:pos="1980" w:leader="none"/>
              </w:tabs>
              <w:spacing w:lineRule="auto" w:line="240"/>
              <w:ind w:left="709" w:hanging="0"/>
              <w:rPr/>
            </w:pPr>
            <w:r>
              <w:rPr/>
              <w:t>100</w:t>
              <w:tab/>
              <w:t>62</w:t>
            </w:r>
          </w:p>
          <w:p>
            <w:pPr>
              <w:pStyle w:val="Normal"/>
              <w:tabs>
                <w:tab w:val="clear" w:pos="284"/>
                <w:tab w:val="right" w:pos="1980" w:leader="none"/>
              </w:tabs>
              <w:spacing w:lineRule="auto" w:line="240"/>
              <w:ind w:left="709" w:hanging="0"/>
              <w:rPr/>
            </w:pPr>
            <w:r>
              <w:rPr/>
              <w:t>100</w:t>
              <w:tab/>
              <w:t>62,5</w:t>
            </w:r>
          </w:p>
          <w:p>
            <w:pPr>
              <w:pStyle w:val="Normal"/>
              <w:tabs>
                <w:tab w:val="clear" w:pos="284"/>
                <w:tab w:val="right" w:pos="1980" w:leader="none"/>
              </w:tabs>
              <w:spacing w:lineRule="auto" w:line="240"/>
              <w:ind w:left="709" w:hanging="0"/>
              <w:rPr/>
            </w:pPr>
            <w:r>
              <w:rPr/>
              <w:t>100</w:t>
              <w:tab/>
              <w:t>63</w:t>
            </w:r>
          </w:p>
          <w:p>
            <w:pPr>
              <w:pStyle w:val="Normal"/>
              <w:tabs>
                <w:tab w:val="clear" w:pos="284"/>
                <w:tab w:val="right" w:pos="1980" w:leader="none"/>
              </w:tabs>
              <w:spacing w:lineRule="auto" w:line="240"/>
              <w:ind w:left="709" w:hanging="0"/>
              <w:rPr/>
            </w:pPr>
            <w:r>
              <w:rPr/>
              <w:t>100</w:t>
              <w:tab/>
              <w:t>63</w:t>
            </w:r>
          </w:p>
          <w:p>
            <w:pPr>
              <w:pStyle w:val="Normal"/>
              <w:tabs>
                <w:tab w:val="clear" w:pos="284"/>
                <w:tab w:val="right" w:pos="1980" w:leader="none"/>
              </w:tabs>
              <w:spacing w:lineRule="auto" w:line="240"/>
              <w:ind w:left="709" w:hanging="0"/>
              <w:rPr/>
            </w:pPr>
            <w:r>
              <w:rPr/>
              <w:t>100</w:t>
              <w:tab/>
              <w:t>63</w:t>
            </w:r>
          </w:p>
          <w:p>
            <w:pPr>
              <w:pStyle w:val="Normal"/>
              <w:tabs>
                <w:tab w:val="clear" w:pos="284"/>
                <w:tab w:val="right" w:pos="1980" w:leader="none"/>
              </w:tabs>
              <w:spacing w:lineRule="auto" w:line="240"/>
              <w:ind w:left="709" w:hanging="0"/>
              <w:rPr/>
            </w:pPr>
            <w:r>
              <w:rPr/>
              <w:t>100</w:t>
              <w:tab/>
              <w:t>63</w:t>
            </w:r>
          </w:p>
          <w:p>
            <w:pPr>
              <w:pStyle w:val="Normal"/>
              <w:tabs>
                <w:tab w:val="clear" w:pos="284"/>
                <w:tab w:val="right" w:pos="1980" w:leader="none"/>
              </w:tabs>
              <w:spacing w:lineRule="auto" w:line="240"/>
              <w:ind w:left="709" w:hanging="0"/>
              <w:rPr/>
            </w:pPr>
            <w:r>
              <w:rPr/>
              <w:t>100</w:t>
              <w:tab/>
              <w:t>63</w:t>
            </w:r>
          </w:p>
        </w:tc>
        <w:tc>
          <w:tcPr>
            <w:tcW w:w="3381" w:type="dxa"/>
            <w:tcBorders>
              <w:top w:val="single" w:sz="4" w:space="0" w:color="000000"/>
              <w:left w:val="single" w:sz="4" w:space="0" w:color="000000"/>
              <w:bottom w:val="single" w:sz="4" w:space="0" w:color="000000"/>
              <w:right w:val="single" w:sz="4" w:space="0" w:color="000000"/>
            </w:tcBorders>
          </w:tcPr>
          <w:p>
            <w:pPr>
              <w:pStyle w:val="Normal"/>
              <w:tabs>
                <w:tab w:val="clear" w:pos="284"/>
                <w:tab w:val="right" w:pos="1980" w:leader="none"/>
              </w:tabs>
              <w:spacing w:lineRule="auto" w:line="240"/>
              <w:ind w:left="709" w:hanging="0"/>
              <w:rPr/>
            </w:pPr>
            <w:r>
              <w:rPr/>
              <w:t>88</w:t>
              <w:tab/>
              <w:t xml:space="preserve"> 55,5</w:t>
            </w:r>
          </w:p>
          <w:p>
            <w:pPr>
              <w:pStyle w:val="Normal"/>
              <w:tabs>
                <w:tab w:val="clear" w:pos="284"/>
                <w:tab w:val="right" w:pos="1980" w:leader="none"/>
              </w:tabs>
              <w:spacing w:lineRule="auto" w:line="240"/>
              <w:ind w:left="709" w:hanging="0"/>
              <w:rPr/>
            </w:pPr>
            <w:r>
              <w:rPr/>
              <w:t>89</w:t>
              <w:tab/>
              <w:t xml:space="preserve"> 56</w:t>
            </w:r>
          </w:p>
          <w:p>
            <w:pPr>
              <w:pStyle w:val="Normal"/>
              <w:tabs>
                <w:tab w:val="clear" w:pos="284"/>
                <w:tab w:val="right" w:pos="1980" w:leader="none"/>
              </w:tabs>
              <w:spacing w:lineRule="auto" w:line="240"/>
              <w:ind w:left="709" w:hanging="0"/>
              <w:rPr/>
            </w:pPr>
            <w:r>
              <w:rPr/>
              <w:t>90</w:t>
              <w:tab/>
              <w:t xml:space="preserve"> 56,5</w:t>
            </w:r>
          </w:p>
          <w:p>
            <w:pPr>
              <w:pStyle w:val="Normal"/>
              <w:tabs>
                <w:tab w:val="clear" w:pos="284"/>
                <w:tab w:val="right" w:pos="1980" w:leader="none"/>
              </w:tabs>
              <w:spacing w:lineRule="auto" w:line="240"/>
              <w:ind w:left="709" w:hanging="0"/>
              <w:rPr/>
            </w:pPr>
            <w:r>
              <w:rPr/>
              <w:t>90</w:t>
              <w:tab/>
              <w:t xml:space="preserve"> 57</w:t>
            </w:r>
          </w:p>
          <w:p>
            <w:pPr>
              <w:pStyle w:val="Normal"/>
              <w:tabs>
                <w:tab w:val="clear" w:pos="284"/>
                <w:tab w:val="right" w:pos="1980" w:leader="none"/>
              </w:tabs>
              <w:spacing w:lineRule="auto" w:line="240"/>
              <w:ind w:left="709" w:hanging="0"/>
              <w:rPr/>
            </w:pPr>
            <w:r>
              <w:rPr/>
              <w:t>90</w:t>
              <w:tab/>
              <w:t xml:space="preserve"> 57,5</w:t>
            </w:r>
          </w:p>
          <w:p>
            <w:pPr>
              <w:pStyle w:val="Normal"/>
              <w:tabs>
                <w:tab w:val="clear" w:pos="284"/>
                <w:tab w:val="right" w:pos="1980" w:leader="none"/>
              </w:tabs>
              <w:spacing w:lineRule="auto" w:line="240"/>
              <w:ind w:left="709" w:hanging="0"/>
              <w:rPr/>
            </w:pPr>
            <w:r>
              <w:rPr/>
              <w:t>91</w:t>
              <w:tab/>
              <w:t xml:space="preserve"> 58</w:t>
            </w:r>
          </w:p>
          <w:p>
            <w:pPr>
              <w:pStyle w:val="Normal"/>
              <w:tabs>
                <w:tab w:val="clear" w:pos="284"/>
                <w:tab w:val="right" w:pos="1980" w:leader="none"/>
              </w:tabs>
              <w:spacing w:lineRule="auto" w:line="240"/>
              <w:ind w:left="709" w:hanging="0"/>
              <w:rPr/>
            </w:pPr>
            <w:r>
              <w:rPr/>
              <w:t>92</w:t>
              <w:tab/>
              <w:t xml:space="preserve"> 58,5</w:t>
            </w:r>
          </w:p>
          <w:p>
            <w:pPr>
              <w:pStyle w:val="Normal"/>
              <w:tabs>
                <w:tab w:val="clear" w:pos="284"/>
                <w:tab w:val="right" w:pos="1980" w:leader="none"/>
              </w:tabs>
              <w:spacing w:lineRule="auto" w:line="240"/>
              <w:ind w:left="709" w:hanging="0"/>
              <w:rPr/>
            </w:pPr>
            <w:r>
              <w:rPr/>
              <w:t>93</w:t>
              <w:tab/>
              <w:t xml:space="preserve"> 59</w:t>
            </w:r>
          </w:p>
          <w:p>
            <w:pPr>
              <w:pStyle w:val="Normal"/>
              <w:tabs>
                <w:tab w:val="clear" w:pos="284"/>
                <w:tab w:val="right" w:pos="1980" w:leader="none"/>
              </w:tabs>
              <w:spacing w:lineRule="auto" w:line="240"/>
              <w:ind w:left="709" w:hanging="0"/>
              <w:rPr/>
            </w:pPr>
            <w:r>
              <w:rPr/>
              <w:t>94</w:t>
              <w:tab/>
              <w:t xml:space="preserve"> 59,5</w:t>
            </w:r>
          </w:p>
          <w:p>
            <w:pPr>
              <w:pStyle w:val="Normal"/>
              <w:tabs>
                <w:tab w:val="clear" w:pos="284"/>
                <w:tab w:val="right" w:pos="1980" w:leader="none"/>
              </w:tabs>
              <w:spacing w:lineRule="auto" w:line="240"/>
              <w:ind w:left="709" w:hanging="0"/>
              <w:rPr/>
            </w:pPr>
            <w:r>
              <w:rPr/>
              <w:t>94</w:t>
              <w:tab/>
              <w:t xml:space="preserve"> 60</w:t>
            </w:r>
          </w:p>
        </w:tc>
      </w:tr>
    </w:tbl>
    <w:p>
      <w:pPr>
        <w:pStyle w:val="TableHeading1"/>
        <w:keepNext w:val="false"/>
        <w:rPr/>
      </w:pPr>
      <w:r>
        <w:rPr/>
        <w:t>Таблица № 6</w:t>
      </w:r>
    </w:p>
    <w:p>
      <w:pPr>
        <w:pStyle w:val="NormalText"/>
        <w:rPr/>
      </w:pPr>
      <w:r>
        <w:rPr/>
        <w:t xml:space="preserve">Както е известно, пенсионната възраст в различните страни в света не е еднаква. Тя се обуславя от комплекс фактори: социално-икономически, политически,етатически,  културно-исторически и др. Така например в Австрия, Великобритания, Германия, Гърция и Полша мъжете се пенсионират на 65, а жените – на 60 години, в Португалия и Швейцария мъжете се пенсионират на 65, а жените – на 62 години, във Франция и Швеция мъжете и жените се пенсионират на 65 години, а в Дания и Норвегтия – на 67 години. </w:t>
      </w:r>
    </w:p>
    <w:p>
      <w:pPr>
        <w:pStyle w:val="NormalText"/>
        <w:rPr/>
      </w:pPr>
      <w:r>
        <w:rPr/>
        <w:t>Прекратяването на работата като най-осезаем признак на пенсионирането се отразява съществено върху психиката и поведението на пенсионера. Човекът в пенсия прекъсва своята групова принадлежност с онази по-голяма или по-малка общност, в която години наред е участвал чрез трудовата си и обществена дейност. Смяната на една с друга жизнена позиция може да предизвика криза в целите, аспирациите,  правата и задълженията на личността. Психичното приспособяване към пенсионирането зависи съществено от личностните особености, от ценностните норми и най-вече от вътрешно изживяваната ценностна значимост на собствената трудово-социална роля. Различните хора възприемат своето пенсиониране по различен начин.</w:t>
      </w:r>
    </w:p>
    <w:p>
      <w:pPr>
        <w:pStyle w:val="NormalText"/>
        <w:rPr/>
      </w:pPr>
      <w:r>
        <w:rPr>
          <w:b/>
        </w:rPr>
        <w:t>Модификацията на личностната структура</w:t>
      </w:r>
      <w:r>
        <w:rPr/>
        <w:t xml:space="preserve"> под въздействието на процеса на пенсиониране може да се представи с помощта на следните четири относително самостоятелни варианти: 1) </w:t>
      </w:r>
      <w:r>
        <w:rPr>
          <w:b/>
        </w:rPr>
        <w:t>личност неготова да приеме новия си статус</w:t>
      </w:r>
      <w:r>
        <w:rPr/>
        <w:t xml:space="preserve">; 2) </w:t>
      </w:r>
      <w:r>
        <w:rPr>
          <w:b/>
        </w:rPr>
        <w:t>личност,</w:t>
      </w:r>
      <w:r>
        <w:rPr/>
        <w:t xml:space="preserve"> </w:t>
      </w:r>
      <w:r>
        <w:rPr>
          <w:b/>
        </w:rPr>
        <w:t>отхвърляща реалното положение на пенсионер</w:t>
      </w:r>
      <w:r>
        <w:rPr/>
        <w:t xml:space="preserve">; 3) </w:t>
      </w:r>
      <w:r>
        <w:rPr>
          <w:b/>
        </w:rPr>
        <w:t>адаптивна личност</w:t>
      </w:r>
      <w:r>
        <w:rPr/>
        <w:t xml:space="preserve">; 4) </w:t>
      </w:r>
      <w:r>
        <w:rPr>
          <w:b/>
        </w:rPr>
        <w:t>овладяваща.</w:t>
      </w:r>
      <w:r>
        <w:rPr/>
        <w:t xml:space="preserve"> (24, с.65 и сл.).</w:t>
      </w:r>
    </w:p>
    <w:p>
      <w:pPr>
        <w:pStyle w:val="NormalText"/>
        <w:rPr/>
      </w:pPr>
      <w:r>
        <w:rPr>
          <w:b/>
        </w:rPr>
        <w:t>Неподготвената за пенсиониране личност</w:t>
      </w:r>
      <w:r>
        <w:rPr/>
        <w:t xml:space="preserve"> се характеризира с изявен страх от този процес. Към новите условия човек се отнася с чувството на обреченост и безпомощност. Емоционално нестабилен, пенсионерът често изпада в изблици на гняв или в състояние на безразличие и примирение. Вниманието му се привлича от дефицитите на старостта – болести, отпадналост и умора, самота. Полето на междуличностните контакти се стеснява значително, като той не се доверява често на близки и познати, не вярва на оценките и мненията им. Такъв човек не проявява необходимата конструктивна активност към новите жизнени условия. Неговият образ, най-общо представен, се идентифицира с този на “особения старик”.</w:t>
      </w:r>
    </w:p>
    <w:p>
      <w:pPr>
        <w:pStyle w:val="NormalText"/>
        <w:rPr/>
      </w:pPr>
      <w:r>
        <w:rPr/>
        <w:t>Онези, които влизат в пенсионна възраст с неприятни предубеждения, обикновено дълго живеят с мисълта, че този период е белязан само или главно с отрицателни настроения, с неблагоприятни състояния. Те са склонни да виждат само лошото в него. Обикновено хората от тази категория са или шумно нервозни, или потиснати и мрачно затворени в себе си. Част от тях надценяват силите си, като не разбират, че всяка възраст иска своето.</w:t>
      </w:r>
    </w:p>
    <w:p>
      <w:pPr>
        <w:pStyle w:val="NormalText"/>
        <w:rPr/>
      </w:pPr>
      <w:r>
        <w:rPr>
          <w:b/>
        </w:rPr>
        <w:t>Вторият поведенчески вариант</w:t>
      </w:r>
      <w:r>
        <w:rPr/>
        <w:t xml:space="preserve"> на приемане на пенсионирането показва една своеобразна “игра” с нежелания момент. Външно човек като че ли е съгласен с реалността, но субективно е напрегнат и тревожен. Личностната маскировка се улавя най-добре в стремежа да се показва, че независимо от наложения от обстоятелствата нов статус индивидът изглежда бодър, жизнен, активен не за възрастта си. Избягването на разговори върху факта на пенсионирането, активната, но дезорганизирана психомоторика, пристрастното отношение към трудово-професионалните проблеми издават неговата вътрешна несигурност.</w:t>
      </w:r>
    </w:p>
    <w:p>
      <w:pPr>
        <w:pStyle w:val="NormalText"/>
        <w:rPr/>
      </w:pPr>
      <w:r>
        <w:rPr/>
        <w:t>Такива личности компенсират страха от пенсионирането и чрез повишена комуникативност с другите. Те дори разширяват кръга на контакти и интензитета на общуването и търсят упорито доказателства за себе си и пред другите, че те не гледат на света и на собствения си живот с очите на пенсионера.</w:t>
      </w:r>
    </w:p>
    <w:p>
      <w:pPr>
        <w:pStyle w:val="NormalText"/>
        <w:rPr/>
      </w:pPr>
      <w:r>
        <w:rPr>
          <w:b/>
        </w:rPr>
        <w:t>Успешното приспособяване</w:t>
      </w:r>
      <w:r>
        <w:rPr/>
        <w:t xml:space="preserve"> непосредствено към обстоятелствата, наложени от пенсионирането, характеризира една част от възрастните. Асимилацията на външните фактори като неизбежни се извършва с помощта на натрупания индивидуален и социален опит. Стилът и режимът на пенсионера се изгражда върху осъзнатата необходимост от “реципрочни взаимоотношения” между обективните фактори и субективната линия на поведение.</w:t>
      </w:r>
    </w:p>
    <w:p>
      <w:pPr>
        <w:pStyle w:val="NormalText"/>
        <w:rPr/>
      </w:pPr>
      <w:r>
        <w:rPr/>
        <w:t>Пенсионерът е този образец на поведение, който центрира представите на околните главно към предимствата и удоволствията, предоставени от пенсионирането. Преустройството в нови сфери на труд и социална активност, установяването на специфичен режим на работа, почивка, хранене, развлечения показват, че възрастният човек търси адекватни правила и механизми за справяне с “участта на пенсионера”. Човек все по-често започва да изпитва удоволствие от пенсионерството си при постигане на успехи и при общуването.</w:t>
      </w:r>
    </w:p>
    <w:p>
      <w:pPr>
        <w:pStyle w:val="NormalText"/>
        <w:rPr/>
      </w:pPr>
      <w:r>
        <w:rPr>
          <w:b/>
        </w:rPr>
        <w:t>Оптималната форма</w:t>
      </w:r>
      <w:r>
        <w:rPr/>
        <w:t xml:space="preserve"> на посрещане и навлизане в процеса на пенсиониране се разкрива чрез наличието на активни овладяващи механизми. На новите условия на пенсиониране личността гледа като на друг етап на социализация и разширяване възможностите за собствено развитие. При сравнително запазена емоционална устойчивост се изгражда ясна представа за ограничители и за предимствата на новия жизнен стадий. Ориентациите се обединяват около правилото “Всяка възраст има своите предимства”. Наблюдава се стремеж за използуване на свободното време, състоянието на незаетост като свобода, постигнати чрез възрастта. Активният процес на вербализация се състои в търсенето на нови значения на присъщите за възрастта ценности – труд, творчество, здраве, семейства, обществена полза. Познавателните интереси се разширяват значително към проблемите на културата, изкуството, здравето, творчески дейности, хоби и други. Просоциалните нагласи запазват доминиращата си роля, както и преди пенсионирането. Емоционалното поведение се проявява като устойчиво срещу критични жизнени ситуации.</w:t>
      </w:r>
    </w:p>
    <w:p>
      <w:pPr>
        <w:pStyle w:val="NormalText"/>
        <w:rPr/>
      </w:pPr>
      <w:r>
        <w:rPr/>
        <w:t>Разумният пенсионер се владее методично, системно и гледа на себе си колкото може по-философски. Укрепва вътрешното си равновесие, защото живее с категоричното съзнание, че е необходим на околните и не се примирява с несправедливото им отношение към него. Когато го пренебрегнат или го подценят, той не загубва самообладание. Тогава гордо и красноречиво им напомня за полезното си присъствие сред тях.</w:t>
      </w:r>
    </w:p>
    <w:p>
      <w:pPr>
        <w:pStyle w:val="NormalText"/>
        <w:rPr/>
      </w:pPr>
      <w:r>
        <w:rPr/>
        <w:t>Драматичните моменти в битието на хората след шестдесетте години нерядко идват от факта, че те няма кому да се изповядват, кому да изплачат мъката си, кому да доверяват тайните си, пред кого да споделят радостта си да я удвояват. Ала най-голяма болка те чувстват тогава, когато няма кому да предадат опита си. Затова  е целесъобразно да се откриват много клубове и домове на пенсионерите и ветераните, където хората да могат да говорят, да спорят дълго и разгорещено, да пеят, да танцуват,  да рецитират,  да обсъждат книги. По този начин те  свикват едни с други, подават си ръка, за да превъзмогнат самотността и слабостта в тежки дни на заболяване, огорчение, обезсърчаване.</w:t>
      </w:r>
    </w:p>
    <w:p>
      <w:pPr>
        <w:pStyle w:val="NormalText"/>
        <w:rPr/>
      </w:pPr>
      <w:r>
        <w:rPr/>
        <w:t>Естествено е, че доста от пенсионерите не биха могли да се чувстват достатъчно добре, ако тяхното ползотворно и приятно всекидневие се изчерпва само от стореното и изпитаното в клубовете и домовете. Тези иначе чудесни “оазиси на дружбата”  не могат да задоволят всички интереси на духовно богатия, самокритичния, но и твърде взискателен човек особено тогава, когато той има по-сложен характер.</w:t>
      </w:r>
    </w:p>
    <w:p>
      <w:pPr>
        <w:pStyle w:val="NormalText"/>
        <w:rPr/>
      </w:pPr>
      <w:r>
        <w:rPr/>
        <w:t>Повечето от хората над 60 години далеч не могат да изчерпят своите потребности само с масовата сбирка. Те жадуват да знаят, че не са само един от много обитатели на света. Ще са удовлетворени само ако някои мисли за тях повече, отколкото за всички останали, и ги възприема като скъпа част от себе си. По тази причина те държат да разчитат и на собствената импровизация в най-близкия им кръг. Тъкмо тогава те живеят не само по-динамично, по-разнообразно, а и по-дълбоко.</w:t>
      </w:r>
    </w:p>
    <w:p>
      <w:pPr>
        <w:pStyle w:val="NormalText"/>
        <w:rPr/>
      </w:pPr>
      <w:r>
        <w:rPr/>
        <w:t>Когато говорим за огромната потребност на пенсионера от общуване с хората и преди всичко с неговите близки, далеч не трябва да подценяваме факта, че той ще се усеща добре най-вече ако има самостоятелен живот. Това би могъл да постигне чрез атмосферата на своите скъпи вещи, които го връщат към радостни мигове от времето на ярките му успехи и на процъфтяващите му сили.</w:t>
      </w:r>
    </w:p>
    <w:p>
      <w:pPr>
        <w:pStyle w:val="NormalText"/>
        <w:rPr/>
      </w:pPr>
      <w:r>
        <w:rPr/>
        <w:t xml:space="preserve">Обикновено първите пенсионерски стъпки се отличават с нормалната жизнеспособност на човека. Те не го потискат въпреки неизбежното физическо износване като последствие от извървения внушителен път на постигнати стремежи, но и на много усилия, на неминуеми несполуки, на психически сътресения. По това време почти всеки вече има много часове за почивка, а следователно и за възстановяване на силите си. Тогава той все още е далеч от явната физическа непълноценност и от потискащо изразения инстинкт за самосъхранение, все още не се тревожи от най-тежките проблеми на напредналата възраст. На този етап все още може да овладява много от физическите болки и последствията от естествените телесни натоварвания, може да ги прикрива. </w:t>
      </w:r>
      <w:r>
        <w:rPr>
          <w:b/>
          <w:i/>
        </w:rPr>
        <w:t>Обикновено това решително побеждаване на физиката от духа трае около едно десетилетие след</w:t>
      </w:r>
      <w:r>
        <w:rPr>
          <w:i/>
        </w:rPr>
        <w:t xml:space="preserve"> </w:t>
      </w:r>
      <w:r>
        <w:rPr>
          <w:b/>
          <w:i/>
        </w:rPr>
        <w:t>пенсионирането</w:t>
      </w:r>
      <w:r>
        <w:rPr>
          <w:i/>
        </w:rPr>
        <w:t xml:space="preserve">. </w:t>
      </w:r>
      <w:r>
        <w:rPr/>
        <w:t>Всъщност този срок би могъл да бъде по-къс или по-дълъг, по-разтеглив според особеностите на индивидуалността.</w:t>
      </w:r>
    </w:p>
    <w:p>
      <w:pPr>
        <w:pStyle w:val="NormalText"/>
        <w:rPr/>
      </w:pPr>
      <w:r>
        <w:rPr/>
        <w:t>Щом стигне до началото на осмото десетилетие човек вече неизбежно навлиза  в някои от по-типичните зони на старостта. Оттук нататък той е вече не само възрастно лице, а и фигура, която се нуждае от повече внимание, от непрестанно самонаблюдение, от системно вникване в подробностите на поведението.</w:t>
      </w:r>
    </w:p>
    <w:p>
      <w:pPr>
        <w:pStyle w:val="NormalText"/>
        <w:rPr/>
      </w:pPr>
      <w:r>
        <w:rPr/>
        <w:t>Ако иска да съществува повече и хармонично, човек през целия си живот трябва да напредва уверено, но и разумно. Битието на току-що пенсиониралия се протича благополучно, ако се постига трайно равновесие между самоограничаването и самоинициативата. А човек около и над 70 години вече принадлежи колкото на свободното поведение, толкова и на възможно най-строго спазвания режим. Оттук нататък вече той, без да се изнервя, трябва да брои не само крачките, а и стъпките. Никак не е чудно, че ще се задъхва доста лесно, че твърде трудно ще успокоява разтреперването, че ще изкачва стъпалата след повече почивки. Важно е да посреща тези нормални неща колкото може по-великодушно. Важно е да ги надмогва, без да ги разисква. Важно е своевременно да ги компенсира с противоположните фактори: с отдаването например на скъпите спомени, на забавната случка, на красивата гледка.</w:t>
      </w:r>
    </w:p>
    <w:p>
      <w:pPr>
        <w:pStyle w:val="NormalText"/>
        <w:rPr/>
      </w:pPr>
      <w:r>
        <w:rPr/>
        <w:t>Старостта изисква умереност и разумност във всичко. Тя е най-благосклонна преди всичко към онези, които като деца се радват, че са я доживели. Тя ги задължава да избягват всички по-силни дразнители, щом съзнават, че те надвишават силите им. Щастливата старост зависи от способността да не се пропуска нито един повод за умерени приятни изживявания, за увлекателни разговори, за срещи с природата и художествената култура. Никога не бива да се забравя, че трудът е желан и през този период, че той “спасява” от интелектуално или физическо грохване, но само   като ,разбира се, се отчитат  индивидуалните възможности на всеки един стар човек.</w:t>
      </w:r>
    </w:p>
    <w:p>
      <w:pPr>
        <w:pStyle w:val="NormalText"/>
        <w:rPr/>
      </w:pPr>
      <w:r>
        <w:rPr/>
        <w:t>Във връзка с пенсионирането на преден план се поставят два въпроса:</w:t>
      </w:r>
    </w:p>
    <w:p>
      <w:pPr>
        <w:pStyle w:val="Normal"/>
        <w:numPr>
          <w:ilvl w:val="0"/>
          <w:numId w:val="83"/>
        </w:numPr>
        <w:spacing w:lineRule="auto" w:line="240"/>
        <w:rPr>
          <w:b/>
          <w:b/>
        </w:rPr>
      </w:pPr>
      <w:r>
        <w:rPr>
          <w:b/>
        </w:rPr>
        <w:t>Желае ли човек да се пенсионира?</w:t>
      </w:r>
    </w:p>
    <w:p>
      <w:pPr>
        <w:pStyle w:val="Normal"/>
        <w:numPr>
          <w:ilvl w:val="0"/>
          <w:numId w:val="83"/>
        </w:numPr>
        <w:spacing w:lineRule="auto" w:line="240"/>
        <w:rPr>
          <w:b/>
          <w:b/>
        </w:rPr>
      </w:pPr>
      <w:r>
        <w:rPr>
          <w:b/>
        </w:rPr>
        <w:t>Трябва ли хората навреме да се пенсионират?</w:t>
      </w:r>
    </w:p>
    <w:p>
      <w:pPr>
        <w:pStyle w:val="NormalText"/>
        <w:rPr/>
      </w:pPr>
      <w:r>
        <w:rPr/>
        <w:t xml:space="preserve">Отговорите на тези два въпроса не са еднозначни. До голяма степен те са в пряка зависимост от редица вътрешни фактори (личностните особености), както и от сложни взаимодействуващи си външни фактори. От съществено значение например е дали трудът или трудовата ангажираност са елемент от ценностната система на отделния човек или са средство за решаване на финансови и икономически трудности. Както изтъква проф. Г. </w:t>
      </w:r>
      <w:r>
        <w:rPr>
          <w:b/>
        </w:rPr>
        <w:t>Йолов</w:t>
      </w:r>
      <w:r>
        <w:rPr/>
        <w:t>, работещият пенсионер в редица отношения “печели” не само социално, но и психически в сравнение с неработещия. Нещо повече. Стигналият благополучно до пенсия човек, дори и тогава, когато я желае, субективно се противопоставя на нейните ултимативни изисквания. С основание може да се говори за наличие у много хора в третата възраст на страх от пенсионирането, свързан с представите им за ненужен и безполезен живот без труд и трудова заетост. Неангажираността се преценява като сериозен фактор за възникването на депресивни състояния на пълно или частично изгубване на предишните роли в трудовия колектив, в обществените организации, в семейството, сред близките и познатите.</w:t>
      </w:r>
    </w:p>
    <w:p>
      <w:pPr>
        <w:pStyle w:val="NormalText"/>
        <w:rPr/>
      </w:pPr>
      <w:r>
        <w:rPr/>
        <w:t xml:space="preserve">За немалка част за хората от третата възраст пенсионирането осигурява възможност за относително по-спокоен живот. Позволява човек да следва своите желания, да се грижи за здравето си, за възстановяване и укрепване на силите си. Свободното време в смисъл на незаетост с предишната трудово-професионална дейност се превръща във водеща форма на съществуване на стария човек. </w:t>
      </w:r>
    </w:p>
    <w:p>
      <w:pPr>
        <w:pStyle w:val="NormalText"/>
        <w:rPr/>
      </w:pPr>
      <w:r>
        <w:rPr/>
        <w:t>Мнозина учени с основание твърдят, че е целесъобразно човек да се пенсионира, когато стигне до изискванията на закона. Върху вземането на решение за това обаче оказват влияние редица фактори и обстоятелства: субективното желание или нежелание на лицето, неговата оценка за трудоспособността си, за здравословното си състояние, за финансово-икономическите си възможности и много други. Успешната интеграция на пенсионера с обществото до голяма степен зависи от новите роли и функции, които има възможност да изпълнява. Например личното стопанство е една от най-масовите форми на активна трудова ангажираност на пенсионерите. Възможността да се работи по няколко часа дневно, да се избере доброволно трудовата дейност и обектът на трудовите усилия (желязо, дърво, тухли, глина, гипс и др.) предизвикват интерес и постоянство в усърдието на старите хора.. Посещенията на клубове, игрални зали, културни заведения и пр. разширяват кръга на техните ангажименти и им позволяват да съчетават полезното с приятното. Силно укрепващо и успокояващо въздействие имат туризмът, ловът, упражняването на хоби и т.н.</w:t>
      </w:r>
    </w:p>
    <w:p>
      <w:pPr>
        <w:pStyle w:val="NormalText"/>
        <w:rPr/>
      </w:pPr>
      <w:r>
        <w:rPr/>
        <w:t xml:space="preserve">Излизането в пенсия е реален акт на социалното поведение. Но този акт, имащ изключително важни последици за човека, се предшествува от вземането на решение за окончателното прекратяване на трудовата дейност. Гейл </w:t>
      </w:r>
      <w:r>
        <w:rPr>
          <w:b/>
        </w:rPr>
        <w:t>Шийхи</w:t>
      </w:r>
      <w:r>
        <w:rPr/>
        <w:t xml:space="preserve"> посочва, че пенсионирането е един от най-тревожните преходи в зрелия живот на американците. Четиридесет и един на сто от проучените пенсионери в Ню Йорк през 1993 г. са заявили, че свикването било много трудно. Колкото по-млад е пенсионерът, толкова по-труден е преходът. Специалистите, мениджърите и търговските агенти се задържат най-дълго преди пенсия и също най-често в даден момент се връщат обратно на работа. Тенденцията при хората, заети с ръчен труд, е да се пенсионират рано и да избягат от монотонността на работата. Пенсионирането разваля плановете на мъжете на възраст 62-64 години. Гледайки как връстниците им окачват ръкавиците, те често отново чувстват социалните “препоръки”. Все пак тенденцията  от 1950 г. насам е хората да излизат от състава на работната сила все по-рано, снижавайки средната пенсионна възраст от 67 на 63 години (</w:t>
      </w:r>
      <w:r>
        <w:rPr>
          <w:lang w:val="en-US"/>
        </w:rPr>
        <w:t>62</w:t>
      </w:r>
      <w:r>
        <w:rPr/>
        <w:t xml:space="preserve">, с.557 и сл.). </w:t>
      </w:r>
    </w:p>
    <w:p>
      <w:pPr>
        <w:pStyle w:val="NormalText"/>
        <w:rPr/>
      </w:pPr>
      <w:r>
        <w:rPr/>
        <w:t xml:space="preserve">Идентифицирането или изолирането на личността от условията от третата възраст създава кризи, които правят възрастния човек способен да ги овладее или да загуби “играта”.  Вариантите на </w:t>
      </w:r>
      <w:r>
        <w:rPr>
          <w:b/>
        </w:rPr>
        <w:t xml:space="preserve">изолация </w:t>
      </w:r>
      <w:r>
        <w:rPr/>
        <w:t>при възрастните са твърде разнообразни. Те започват от пространствената ограниченост, наложена поради инвалидност или дълбока старост, и стигат до продължителната или окончателната откъснатост от близки и обичани хора. Смъртта на един от възрастната съпружеска двойка или на близки на стария човек също създават тежки психични състояния. Не трябва да се игнорира ролята и на частичната или пълната  изолация от близки на сърцето места. Най-после всяка старост, особено когато е в по-късен стадий на развитие, се съпътствува с бедно и еднообразно присъствие на стимули. През последните години в резултат на ефективни миграционни процеси се стигна до своеобразна форма на интимна изолация на някои възрастни хора от близките им, особено синове и дъщери.</w:t>
      </w:r>
    </w:p>
    <w:p>
      <w:pPr>
        <w:pStyle w:val="NormalText"/>
        <w:rPr/>
      </w:pPr>
      <w:r>
        <w:rPr/>
        <w:t xml:space="preserve">Нарушаването или пълното скъсване на интимната нишка на внимание, грижа и обич между родители и деца е характерно с това, че развива силен депресивен синдром и намалява шансовете за намиране на адекватен изход за възрастните. Интересни наблюдения върху фазите на скръбта при смърт на брачен партньор и на механизмите за излизане от това кризисно състояние е осъществил Е. </w:t>
      </w:r>
      <w:r>
        <w:rPr>
          <w:b/>
        </w:rPr>
        <w:t>Линдемон</w:t>
      </w:r>
      <w:r>
        <w:rPr/>
        <w:t>. Според него продължителността на състоянието скръб е твърде относително и зависи до голяма степен от “успеха, с който човек тъгува”. Това означава, че първата фаза на скръб започва с постепенната еманципация от привързаността към починалия. Кризата е по-дълбока, когато е налице дълбока духовна връзка между съпрузите, или приключва по-болезнено, когато “смъртта е осъществила еманципация от зависимостта” на починалия. През следващата фаза се извършва пренагаждане към околната среда, в която починалият липсва, и накрая, скърбящият създава нови отношения и модели на взаимодействие, които стабилизират повече или по-малко неговото поведение.</w:t>
      </w:r>
    </w:p>
    <w:p>
      <w:pPr>
        <w:pStyle w:val="NormalText"/>
        <w:rPr/>
      </w:pPr>
      <w:r>
        <w:rPr/>
        <w:t xml:space="preserve">Кои са </w:t>
      </w:r>
      <w:r>
        <w:rPr>
          <w:b/>
        </w:rPr>
        <w:t>основните етапи на приспособяването към старостта</w:t>
      </w:r>
      <w:r>
        <w:rPr/>
        <w:t>?</w:t>
      </w:r>
    </w:p>
    <w:p>
      <w:pPr>
        <w:pStyle w:val="NormalText"/>
        <w:rPr/>
      </w:pPr>
      <w:r>
        <w:rPr/>
        <w:t xml:space="preserve">Тревожната възприемчивост и кризите в  психиката, присъщи на смяната на стереотипа в началото на третата възраст,  обикновено преминават  през следните </w:t>
      </w:r>
      <w:r>
        <w:rPr>
          <w:b/>
        </w:rPr>
        <w:t>основни моменти</w:t>
      </w:r>
      <w:r>
        <w:rPr/>
        <w:t>: стадий на несъответствието или “възмущението”, стадий на нормализирането, третият стадий е на адекватната за възрастта дейност. Широко разпространеният израз “да се оживее до първа пенсия” като особено важно условие, за да се навлезе и овладее третата възраст, образно представя много добре съответното кризисно преживяване.</w:t>
      </w:r>
    </w:p>
    <w:p>
      <w:pPr>
        <w:pStyle w:val="NormalText"/>
        <w:rPr/>
      </w:pPr>
      <w:r>
        <w:rPr/>
        <w:t>Разрешаването на кризата на прехода се осигурява от следните психически предпоставки: правилно възприемане и осмисляне на ситуацията в индивидуалното съзнание на възрастния; успешно справяне с афекта на “пенсионера” и висока степен на вербализация на неизбежността на реалността и накрая развитие на модели за търсене и използване на собственото присъствие в границите на старостта и на помощта на междуличностните взаимовръзки и взаимоотношения.</w:t>
      </w:r>
    </w:p>
    <w:p>
      <w:pPr>
        <w:pStyle w:val="NormalText"/>
        <w:rPr/>
      </w:pPr>
      <w:r>
        <w:rPr/>
        <w:t xml:space="preserve">Пенсионирането е процес на преустройство в цялостната структура на личността и не следва да се изразява във внезапно преминаване в състояние на бездействие. Много голяма част от хората, излизащи в пенсия, запазват общата си работоспособност. По данни на Гейл </w:t>
      </w:r>
      <w:r>
        <w:rPr>
          <w:b/>
        </w:rPr>
        <w:t xml:space="preserve">Шийхи </w:t>
      </w:r>
      <w:r>
        <w:rPr/>
        <w:t>все повече американци на възраст над 65 години започват работа на непълен работен ден: 52 на сто от всички бели мъже през 1990 г., в сравнение с 30 на сто през 1960 г. (62, с. 567).</w:t>
      </w:r>
    </w:p>
    <w:p>
      <w:pPr>
        <w:pStyle w:val="NormalText"/>
        <w:rPr/>
      </w:pPr>
      <w:r>
        <w:rPr/>
        <w:t xml:space="preserve">В напредналата и старческата възраст здравното състояние е най-важният биологичен фактор, който определя трудовата активност на възрастните хора. Доброто им здравно състояние довежда до увеличаване на физиологичния период на трудоспособността. Трудовата и двигателната дейност са жизнена необходимост за човека, каквито са храненето и сънят. Известно е, че една част от пенсионерите продължават да работят, макар и с понижена интензивност, сила и издръжливост. За тях са необходими подходящи условия за работа. Връзката между физическото и умственото здраве е най-тясна в късния стадий на живота. “Но ако до голяма степен – отбелязва Гейл </w:t>
      </w:r>
      <w:r>
        <w:rPr>
          <w:b/>
        </w:rPr>
        <w:t>Шийхи</w:t>
      </w:r>
      <w:r>
        <w:rPr/>
        <w:t xml:space="preserve">, - гените ни предопределят състоянието на нашето здраве и нашето дълголетие, това важи само докато стигнем 60 или 65. След това, ако сме се измъкнали от катастрофалните болести по време на критичния среден жизнен период от 45 до 65 години, качеството и продължителността на нашата трета възраст по-скоро се предопределя от психологическата ни нагласа и поведение” (62, с. 620 и сл.). Авторката разграничава </w:t>
      </w:r>
      <w:r>
        <w:rPr>
          <w:b/>
          <w:i/>
        </w:rPr>
        <w:t>пасивно остаряване</w:t>
      </w:r>
      <w:r>
        <w:rPr/>
        <w:t xml:space="preserve"> и </w:t>
      </w:r>
      <w:r>
        <w:rPr>
          <w:b/>
          <w:i/>
        </w:rPr>
        <w:t>успешно остаряване</w:t>
      </w:r>
      <w:r>
        <w:rPr/>
        <w:t xml:space="preserve">, което по своята същност е едно помъдряване, т.е. осмисляне на новите условия на живот и адекватно приспособяване към тях, стремеж за самообновяване, за извършване на едни или други полезни за себе си и за близките дейности, поддържане на “апарата”  за самолечение. Според нея  изключително голяма роля за психофизическото здраве на старите хора играе имунната система. “Нашите мисли и чувства </w:t>
      </w:r>
      <w:r>
        <w:rPr>
          <w:b/>
          <w:i/>
        </w:rPr>
        <w:t>не причиняват</w:t>
      </w:r>
      <w:r>
        <w:rPr/>
        <w:t xml:space="preserve"> пряко рак или инфаркт, както промяната в нашето мислене и чувства не може сама по себе си да </w:t>
      </w:r>
      <w:r>
        <w:rPr>
          <w:b/>
          <w:i/>
        </w:rPr>
        <w:t>излекува</w:t>
      </w:r>
      <w:r>
        <w:rPr>
          <w:i/>
        </w:rPr>
        <w:t xml:space="preserve"> </w:t>
      </w:r>
      <w:r>
        <w:rPr/>
        <w:t xml:space="preserve">или да </w:t>
      </w:r>
      <w:r>
        <w:rPr>
          <w:b/>
          <w:i/>
        </w:rPr>
        <w:t>предотврати</w:t>
      </w:r>
      <w:r>
        <w:rPr/>
        <w:t xml:space="preserve"> появата на болест. Но развитието на науката, занимаваща се с имунната система, категорично посочва нашите чувства като виновниците, правещи ни </w:t>
      </w:r>
      <w:r>
        <w:rPr>
          <w:b/>
          <w:i/>
        </w:rPr>
        <w:t>предразположени</w:t>
      </w:r>
      <w:r>
        <w:rPr/>
        <w:t xml:space="preserve"> към подобни болести…Открихме, че ефектът от състоянието на щастие върху имунната система прилича много на това, което сме наблюдавали като резултат от състоянието на тъга…Отсъствието на емоции подтиска имунната система и предразполага човека към болести…”(62, с. 579 и сл.). Този извод се основава на едно забележително изследване на доктора по психоимунология Маргарет Кемени от Калифорнийския университет, която използва актьори, обучени по специален метод, които в продължение на двадесет минути  генерират интензивни емоционални състояния ( на щастие и на тъга). И в двата случая се наблюдава значително повишаване на Т-клетките в кръвта им (“добрите” клетки), които унищожават туморните клетки. Този оригинален експеримент по недвусмислен начин потвърждава тезата, че в състояние на депресия или стрес старите хора имат твърде съществени проблеми с личното си здраве.   </w:t>
      </w:r>
    </w:p>
    <w:p>
      <w:pPr>
        <w:pStyle w:val="NormalText"/>
        <w:rPr/>
      </w:pPr>
      <w:r>
        <w:rPr/>
        <w:t xml:space="preserve">Известно е, че съществуват големи индивидуални различия в работоспособността на лицата в напреднала и старческа възраст, ето защо трудовата им дейност трябва да се дозира съобразно възрастта и състоянието на организма. Силовите изисквания относно работата на възрастните хора трябва да се предявяват след внимателна медицинска експертиза. С напредването на възрастта с всяка измината година максималният работен капацитет на човека намалява чувствително. За поддържането на остатъчна трудоспособност следва да се спазват редица </w:t>
      </w:r>
      <w:r>
        <w:rPr>
          <w:b/>
        </w:rPr>
        <w:t>условия.</w:t>
      </w:r>
    </w:p>
    <w:p>
      <w:pPr>
        <w:pStyle w:val="NormalText"/>
        <w:rPr/>
      </w:pPr>
      <w:r>
        <w:rPr/>
        <w:t>Трудът и професионалната трудоспособност са важни фактори за здравето, за профилактиката на патологичното остаряване и социалната адаптация на стария човек в семейството и обществото. Трудът, изпълнението на определени ангажименти в обществената дейност, в домакинството на семействата, в различните отрасли на икономиката, в културната, творческата и научната дейност, в обучението и подготовката на кадри при облекчаващи условия благоприятства за стабилизиране на здравето и социалната адаптация на личността след пенсиониране. От направените множество проучвания се констатира, че икономически активни са предимно лицата в първите 5 години след пенсионирането, когато трудоспособността им е още запазена.</w:t>
      </w:r>
    </w:p>
    <w:p>
      <w:pPr>
        <w:pStyle w:val="NormalText"/>
        <w:rPr/>
      </w:pPr>
      <w:r>
        <w:rPr/>
        <w:t>Трудовата активност след пенсиониране до голяма степен се обуславя от професионалната трудоспособност и професионалното остаряване.</w:t>
      </w:r>
    </w:p>
    <w:p>
      <w:pPr>
        <w:pStyle w:val="NormalText"/>
        <w:rPr/>
      </w:pPr>
      <w:r>
        <w:rPr>
          <w:b/>
        </w:rPr>
        <w:t xml:space="preserve">Професионалната трудоспособност </w:t>
      </w:r>
      <w:r>
        <w:rPr/>
        <w:t>е сложна социално-биологична категория, отразяваща възрастовите изменения в организма и придобият опит в зависимост от условията на труда. Когато тези взаимоотношения се нарушат настъпва преждевременно професионално остаряване с по-леки или по-тежки последици към предявените условия на труда.</w:t>
      </w:r>
    </w:p>
    <w:p>
      <w:pPr>
        <w:pStyle w:val="NormalText"/>
        <w:rPr/>
      </w:pPr>
      <w:r>
        <w:rPr/>
        <w:t>Факторите, оказващи влияние върху професионалното стареене, могат да се групират в следните направления (54, с.191 и сл.).</w:t>
      </w:r>
    </w:p>
    <w:p>
      <w:pPr>
        <w:pStyle w:val="ListBullet4"/>
        <w:numPr>
          <w:ilvl w:val="1"/>
          <w:numId w:val="63"/>
        </w:numPr>
        <w:ind w:left="964" w:hanging="284"/>
        <w:rPr/>
      </w:pPr>
      <w:r>
        <w:rPr>
          <w:b/>
        </w:rPr>
        <w:t xml:space="preserve">Социално-демографски -  </w:t>
      </w:r>
      <w:r>
        <w:rPr/>
        <w:t>социална и възрастова характеристика на изпълнителските, организаторските и ръководните кадри в зависимост от биологичните фактори, като пол и здравно състояние. Тук съществено значение имат продължителността на трудовия стаж по професии, средната граница на трудовия стаж за цялата съвкупност.</w:t>
      </w:r>
    </w:p>
    <w:p>
      <w:pPr>
        <w:pStyle w:val="ListBullet4"/>
        <w:numPr>
          <w:ilvl w:val="1"/>
          <w:numId w:val="63"/>
        </w:numPr>
        <w:ind w:left="964" w:hanging="284"/>
        <w:rPr/>
      </w:pPr>
      <w:r>
        <w:rPr>
          <w:b/>
        </w:rPr>
        <w:t xml:space="preserve">Клинико-физиологични характеристики – </w:t>
      </w:r>
      <w:r>
        <w:rPr/>
        <w:t>оценка на здравното състояние и преждевременното остаряване по критерии за биологична и календарна възраст; функционално състояние на основните системи на организма в зависимост от предявените хигиенни норми на производството; организация на медицинското обслужване и санитарно-хигиенния контрол върху производството.</w:t>
      </w:r>
    </w:p>
    <w:p>
      <w:pPr>
        <w:pStyle w:val="ListBullet4"/>
        <w:numPr>
          <w:ilvl w:val="1"/>
          <w:numId w:val="63"/>
        </w:numPr>
        <w:ind w:left="964" w:hanging="284"/>
        <w:rPr/>
      </w:pPr>
      <w:r>
        <w:rPr>
          <w:b/>
        </w:rPr>
        <w:t>Физиологично-хигиенни критерии</w:t>
      </w:r>
      <w:r>
        <w:rPr/>
        <w:t xml:space="preserve"> – условия, характер и продължителност на труда; фактори на производствената среда, характер на труда, трудови норми по професионални и възрастови групи; състояние на работното място; режим на труд, хранене, отдих и почивка; физиологични граници на промените в организма, произтичащи от умора, характер на производството и производителността на труда; обща заболяваемост и професионална патология, ограничаващи трудоспособността по възрастови групи.</w:t>
      </w:r>
    </w:p>
    <w:p>
      <w:pPr>
        <w:pStyle w:val="ListBullet4"/>
        <w:numPr>
          <w:ilvl w:val="1"/>
          <w:numId w:val="63"/>
        </w:numPr>
        <w:ind w:left="964" w:hanging="284"/>
        <w:rPr/>
      </w:pPr>
      <w:r>
        <w:rPr>
          <w:b/>
        </w:rPr>
        <w:t>Социално</w:t>
      </w:r>
      <w:r>
        <w:rPr/>
        <w:t>-</w:t>
      </w:r>
      <w:r>
        <w:rPr>
          <w:b/>
        </w:rPr>
        <w:t>психологически</w:t>
      </w:r>
      <w:r>
        <w:rPr/>
        <w:t xml:space="preserve"> критерии: рангово място в производството; производствена ценност и самооценка; удовлетвореност от труда и възнаграждението; отношение към колектив, психоклимат, самооценка за здраве и годност.</w:t>
      </w:r>
    </w:p>
    <w:p>
      <w:pPr>
        <w:pStyle w:val="NormalText"/>
        <w:rPr/>
      </w:pPr>
      <w:r>
        <w:rPr/>
        <w:t>Комплексният анализ за значимостта и ролята на посочените фактори и критерии за оценка се извършват от позицията за същността за стареенето като хетерогенен процес и за неравномерните промени в различните органи и системи на организма. Съгласно тази концепция на фона на общото снижение на функциите в организма възникват нови компенсаторно-приспособителни механизми на адаптация. Именно тези нови промени поддържат на оптимално ниво трудоспособността в напреднала и старческа възраст. С напредване на възрастта обаче тяхната надеждност и стабилност отслабва и при несъответствие между изисквания и възможности бързо могат да настъпят  срив и декомпенсация.</w:t>
      </w:r>
    </w:p>
    <w:p>
      <w:pPr>
        <w:pStyle w:val="NormalText"/>
        <w:rPr/>
      </w:pPr>
      <w:r>
        <w:rPr/>
        <w:t xml:space="preserve">Когато има реални възможности за осигуряване на работа за хора в пенсионна възраст надеждно средство за преценка на тяхната трудоспособност е </w:t>
      </w:r>
      <w:r>
        <w:rPr>
          <w:b/>
        </w:rPr>
        <w:t>медицинската експертиза</w:t>
      </w:r>
      <w:r>
        <w:rPr/>
        <w:t xml:space="preserve">. Тя включва критерии за оценка на физиометричните и психометричните промени в организма в зависимост от стареенето и клинични показатели за оценка на здравното състояние. Основната концепция на тази експертиза се изгражда на основата на достиженията на герантологията и герантопсихологията. След 60-годишна възраст поради ограничаване на физиологичните параметри по-бързо нараства умората и възниква необходимост от намаление на обема и напрежението в трудовата дейност. Критериите за оценка на биологичната възраст могат да се използват успешно и при медицинската експертиза за остатъчната трудоспособност, представена в </w:t>
      </w:r>
      <w:r>
        <w:rPr>
          <w:b/>
        </w:rPr>
        <w:t xml:space="preserve">приложението – </w:t>
      </w:r>
      <w:r>
        <w:rPr/>
        <w:t>клинични степени на остаряване (54, с.197), които в таблица № 6 са обозначени по следния начин: умерено остаряване – с (+), изразено остаряване – с (++) и рязко изразено остаряване – с (+++). Когато не се установяват съществени изменения от стареенето (-) или те са незначителни (+), лицата в пенсионна възраст се класифицират като годни за работа при обичайни условия, несвързани обаче с голямо физическо и психическо напрежение. При възрастни и стари хора с изразени функционални и клинични признаци на стареене (++) експертизата следва да ги насочва към трудови дейности при облекчаващи условия</w:t>
      </w:r>
      <w:r>
        <w:rPr>
          <w:b/>
        </w:rPr>
        <w:t xml:space="preserve"> </w:t>
      </w:r>
      <w:r>
        <w:rPr/>
        <w:t xml:space="preserve">на работа </w:t>
      </w:r>
      <w:r>
        <w:rPr>
          <w:i/>
        </w:rPr>
        <w:t>(</w:t>
      </w:r>
      <w:r>
        <w:rPr>
          <w:b/>
          <w:i/>
        </w:rPr>
        <w:t>по-кратка продължителност, занижена производствена норма, подобрени условия за</w:t>
      </w:r>
      <w:r>
        <w:rPr>
          <w:i/>
        </w:rPr>
        <w:t xml:space="preserve"> </w:t>
      </w:r>
      <w:r>
        <w:rPr>
          <w:b/>
          <w:i/>
        </w:rPr>
        <w:t>работа</w:t>
      </w:r>
      <w:r>
        <w:rPr>
          <w:i/>
        </w:rPr>
        <w:t xml:space="preserve">). </w:t>
      </w:r>
      <w:r>
        <w:rPr/>
        <w:t>При силно изразени старчески промени (+++) лицата не се допуска до работа, а тяхната дейност се ограничава до самообслужване и съдействие в домакинската работа на семейството. Функционалното натоварване на организма в напреднала възраст чрез труд трябва да се съобразява с тези изменения.</w:t>
      </w:r>
    </w:p>
    <w:p>
      <w:pPr>
        <w:pStyle w:val="NormalText"/>
        <w:rPr/>
      </w:pPr>
      <w:r>
        <w:rPr/>
        <w:t>Основното, което определя остатъчната трудоспособност на хората от третата възраст са развитието, темпът на биологичното стареене и неговото отражение върху реактивността на всички органи и системи, обезпечаващи нормалната трудова дейност.</w:t>
      </w:r>
    </w:p>
    <w:p>
      <w:pPr>
        <w:pStyle w:val="NormalText"/>
        <w:rPr/>
      </w:pPr>
      <w:r>
        <w:rPr/>
        <w:t>Ще отбележим, че остатъчната трудоспособност е различна при старите хора. У едни тя е все още висока, при други – задоволителна, а при трети – ниска. Установено, е че човек на 50-годишна възраст вече притежава 70%, а след 70 – години – 50% от физическата работоспособност, която е имал като млад. (36, с.150). Трудът, когато е оптимален за физиологичните възможности на старите хора, става положителен фактор за тяхното здраве.</w:t>
      </w:r>
    </w:p>
    <w:p>
      <w:pPr>
        <w:pStyle w:val="NormalText"/>
        <w:rPr/>
      </w:pPr>
      <w:r>
        <w:rPr/>
        <w:t>В литературата въпросите за остатъчната трудоспособност са предмет на специални изследвания. Интерес представляват изводите от изследването, извършено през 1999 г. в два района на страната – градски (</w:t>
      </w:r>
      <w:r>
        <w:rPr>
          <w:b/>
          <w:i/>
        </w:rPr>
        <w:t>столицата</w:t>
      </w:r>
      <w:r>
        <w:rPr>
          <w:i/>
        </w:rPr>
        <w:t xml:space="preserve">) </w:t>
      </w:r>
      <w:r>
        <w:rPr/>
        <w:t xml:space="preserve">и селски </w:t>
      </w:r>
      <w:r>
        <w:rPr>
          <w:i/>
        </w:rPr>
        <w:t>(</w:t>
      </w:r>
      <w:r>
        <w:rPr>
          <w:b/>
          <w:i/>
        </w:rPr>
        <w:t>Великотърновска, Ловешка и Монтанска област</w:t>
      </w:r>
      <w:r>
        <w:rPr>
          <w:i/>
        </w:rPr>
        <w:t>).</w:t>
      </w:r>
      <w:r>
        <w:rPr/>
        <w:t xml:space="preserve"> По-важните от тях са(7, с.39 – 40):</w:t>
      </w:r>
    </w:p>
    <w:p>
      <w:pPr>
        <w:pStyle w:val="ListBullet4"/>
        <w:numPr>
          <w:ilvl w:val="1"/>
          <w:numId w:val="63"/>
        </w:numPr>
        <w:ind w:left="964" w:hanging="284"/>
        <w:rPr/>
      </w:pPr>
      <w:r>
        <w:rPr/>
        <w:t>Съществуват резерви за остатъчна трудова реализация както в града, (предимно в областта на умствения труд –инженерно-техническите дейности, образование, комуникационното обслужване), така и в селото (земеделие, животновъдство).</w:t>
      </w:r>
    </w:p>
    <w:p>
      <w:pPr>
        <w:pStyle w:val="ListBullet4"/>
        <w:numPr>
          <w:ilvl w:val="1"/>
          <w:numId w:val="63"/>
        </w:numPr>
        <w:ind w:left="964" w:hanging="284"/>
        <w:rPr/>
      </w:pPr>
      <w:r>
        <w:rPr/>
        <w:t>Трудовата заетост при възрастните е силно повлияна от техните демографски и социални характеристики. Заетостта при мъжете значително превишава тази при жените. Заетите от възрастовата група над 70 години е по-малка от тези на 60-69 години. Очертава се тенденцията на нарастване на заетостта с нарастване на образователното равнище.</w:t>
      </w:r>
    </w:p>
    <w:p>
      <w:pPr>
        <w:pStyle w:val="ListBullet4"/>
        <w:numPr>
          <w:ilvl w:val="1"/>
          <w:numId w:val="63"/>
        </w:numPr>
        <w:ind w:left="964" w:hanging="284"/>
        <w:rPr/>
      </w:pPr>
      <w:r>
        <w:rPr/>
        <w:t>Основното направление на трудовата заетост при възрастните е домашното стопанство. Заетите в частните фирми са на второ място.</w:t>
      </w:r>
    </w:p>
    <w:p>
      <w:pPr>
        <w:pStyle w:val="ListBullet4"/>
        <w:numPr>
          <w:ilvl w:val="1"/>
          <w:numId w:val="63"/>
        </w:numPr>
        <w:ind w:left="964" w:hanging="284"/>
        <w:rPr/>
      </w:pPr>
      <w:r>
        <w:rPr/>
        <w:t>Потенциалната трудова активност сред изследваните възрастни е висока. Тя е изградена на основата на притежавана и упражнявана до пенсионирането професия. В града изследваните предпочитат най-вече постоянната работа и работата с определен срок. Ограничената икономика в селата ориентира към приемането на каквато и да е работа.</w:t>
      </w:r>
    </w:p>
    <w:p>
      <w:pPr>
        <w:pStyle w:val="ListBullet4"/>
        <w:numPr>
          <w:ilvl w:val="1"/>
          <w:numId w:val="63"/>
        </w:numPr>
        <w:ind w:left="964" w:hanging="284"/>
        <w:rPr/>
      </w:pPr>
      <w:r>
        <w:rPr/>
        <w:t>Като цяло потенциалната активност на изследваните се оказва обаче все още недостатъчна, ако се оценява от гледна точка на съществуващите традиции и ценностната система на съжителство на генерациите.</w:t>
      </w:r>
    </w:p>
    <w:p>
      <w:pPr>
        <w:pStyle w:val="ListBullet4"/>
        <w:numPr>
          <w:ilvl w:val="1"/>
          <w:numId w:val="63"/>
        </w:numPr>
        <w:ind w:left="964" w:hanging="284"/>
        <w:rPr/>
      </w:pPr>
      <w:r>
        <w:rPr/>
        <w:t>Домашното стопанство все още не е пазарно ориентирано. От една страна, възрастните с домашни стопанства нямат пазарно поведение, от друга – инфраструктурата в селата продължава да пречи на реализирането на доходи от излишната продукция. Некоректно е поведението на частни стопански организации, изкупуващи продукция – специално по отношение на възрастните, тъй като по правило предлаганите изкупни цени са по-ниски от производствените разходи. Тази ситуация безспорно трябва да се промени. Още повече, че тя е характерна и за останалите производители от селата. Изграждането на действена организация за защита на земеделските производители е належащ проблем на близко бъдеще.</w:t>
      </w:r>
    </w:p>
    <w:p>
      <w:pPr>
        <w:pStyle w:val="NormalText"/>
        <w:rPr/>
      </w:pPr>
      <w:r>
        <w:rPr>
          <w:b/>
        </w:rPr>
        <w:t>Основният извод</w:t>
      </w:r>
      <w:r>
        <w:rPr/>
        <w:t xml:space="preserve"> е, че трудовата дейност на възрастните и старите хора има огромно обществено значение. Опитът, квалификацията, знанията, събрани през целия им жизнен път, ги правят обществено необходими, истински учители и незаменими помощници на по-младите поколения. Освен това, дейността на възрастните и старите хора, колкото и малка да е тя, е важна биологична потребност, тъй като трудът им търси не толкова икономическа активност, колкото да удовлетвори желанието им за участие в общественополезен труд, да поддържа тяхната дееспособност и здраве, да запази възможностите им за самообслужване и в много по-късна възраст.</w:t>
      </w:r>
    </w:p>
    <w:p>
      <w:pPr>
        <w:pStyle w:val="NormalText"/>
        <w:rPr/>
      </w:pPr>
      <w:r>
        <w:rPr/>
        <w:t>Социално-педагогическата и в частност герагогическата дейност, т.е. работата с възрастни и стари хора има своя специфика. Различни са подходите на социалните работници и педагози към  наскоро пенсионираните лица,  неработещите и работещите пенсионери,  инвалидите или дементно болните. Това, разбира се, не изключва съблюдаването на общи принципи и прилагането на единни технологии (работа с единичен случай, групова работа, оказване на помощ за самопомощ и пр.).</w:t>
      </w:r>
    </w:p>
    <w:p>
      <w:pPr>
        <w:pStyle w:val="Heading2"/>
        <w:rPr/>
      </w:pPr>
      <w:bookmarkStart w:id="37" w:name="__RefHeading___Toc89859698"/>
      <w:r>
        <w:rPr/>
        <w:t>9.3. Основни звена и  форми за социални услуги  на хората от третата възраст</w:t>
      </w:r>
      <w:bookmarkEnd w:id="37"/>
      <w:r>
        <w:rPr/>
        <w:t xml:space="preserve"> </w:t>
      </w:r>
    </w:p>
    <w:p>
      <w:pPr>
        <w:pStyle w:val="NormalText"/>
        <w:rPr/>
      </w:pPr>
      <w:r>
        <w:rPr/>
        <w:t xml:space="preserve">Проблемите за </w:t>
      </w:r>
      <w:r>
        <w:rPr>
          <w:b/>
        </w:rPr>
        <w:t>социалната политика, социалната сигурност</w:t>
      </w:r>
      <w:r>
        <w:rPr/>
        <w:t xml:space="preserve"> и </w:t>
      </w:r>
      <w:r>
        <w:rPr>
          <w:b/>
        </w:rPr>
        <w:t>социалната защита</w:t>
      </w:r>
      <w:r>
        <w:rPr/>
        <w:t xml:space="preserve">, както и тези за </w:t>
      </w:r>
      <w:r>
        <w:rPr>
          <w:b/>
        </w:rPr>
        <w:t>социалното осигуряване</w:t>
      </w:r>
      <w:r>
        <w:rPr/>
        <w:t xml:space="preserve"> и </w:t>
      </w:r>
      <w:r>
        <w:rPr>
          <w:b/>
        </w:rPr>
        <w:t>социалното подпомагане</w:t>
      </w:r>
      <w:r>
        <w:rPr/>
        <w:t xml:space="preserve"> придобиха голяма актуалност в условията на прехода на нашата страна към пазарно ориентирано стопанство. Дългогодишният  опит на страни с различен тип пазарна икономика недвусмислено показва, че икономиката сама по себе си е твърде индиферентна към характера на взаимоотношенията между членовете на обществото, тъй като отношенията между субектите на производството се основават единствено на оценките на пазара и на критериите за рационалност и ефективност. Социалната политика освен тези отношения регулира и такива категории като социална справедливост, степен на поносимост на социалната диференциация, обществени блага, ценностни системи и много други нематериални интереси на хората. Тази политика се осъществява чрез съвкупност от законодателни и практически мерки, насочени към създаване на условия за нормално съществуване на всички членове на обществото и оказване на помощ на крайно нуждаещите се. Чрез нея се цели да се гарантира социална сигурност и социална защита (закрила) чрез справедливо разпределение и използване на социалните продукти и да се постигне социално благосъстояние, като се интегрират отделните социални групи в обществото. Социалната сигурност се свързва преди всичко със социалното осигуряване и социалното подпомагане на населението, макар че и те не изчерпват изцяло нейното съдържание и това на социалната политика. Както е известно, за разлика от социалното осигуряване, което главно е предназначено да замести предишните доходи на неговите субекти, социалното подпомагане има за цел да допълва доходите на едни или други лица до определен обществено приемлив праг. Тази проблематика има твърде широк диапазон и обикновено се разглежда предимно от икономическия блок дисциплини. Мнозина учени с основание твърдят, че в това отношение  най-ощетената и вече изцяло рискова  социална група в условията на прехода са лицата в третата възраст.  Ще разгледаме в по-схематичен план  само най-важните  форми за социални услуги на хората от тази възраст, без да навлизаме в  подробности  във финансово-икономическите параметри. </w:t>
      </w:r>
    </w:p>
    <w:p>
      <w:pPr>
        <w:pStyle w:val="NormalText"/>
        <w:rPr/>
      </w:pPr>
      <w:r>
        <w:rPr/>
        <w:t xml:space="preserve">Старостта е най-тежкият период от живота на човека, а засилените процеси на демографско стареене  предявяват пред обществото все по-големи изисквания по  отношение на финансовите и материалните средства за издръжка на хората от третата възраст, особено за усъвършенстване на пенсионната система и развитие на различните форми за социални услуги. Главната цел на системата за социална защита е да предлага и осигурява съобразно възможностите на страната ни най-доброто и ефективно задоволяване на социалните потребности на населението. Обхватът на социалната защита се определя съобразно с принципите, целите, задачите, дейностите, формите и средствата за задоволяване на подлежащите на защита социални потребности. В условията на общото обедняване на населението в условията на прехода към пазарно ориентирано стопанство широко дискутирани са проблемите за размера на пенсиите, за границите на бедност и минималните доходи, за минималната часова работна заплата, за размера на различните видове обезщетения и помощи, за допълнителното пенсионно осигуряване, за създаването на по-широки възможности за изграждане на социална защитна мрежа и пр. </w:t>
      </w:r>
    </w:p>
    <w:p>
      <w:pPr>
        <w:pStyle w:val="NormalText"/>
        <w:rPr/>
      </w:pPr>
      <w:r>
        <w:rPr/>
        <w:t>В съответствие със съществуващите нормативни документи (Закона за социално подпомагане, Правилника за неговото приложение   и др.) социалните услуги се извършват от държавата и общините, от юридически и финансови лица. Заведенията за социални услуги се разграничават на:</w:t>
      </w:r>
    </w:p>
    <w:p>
      <w:pPr>
        <w:pStyle w:val="Normal"/>
        <w:numPr>
          <w:ilvl w:val="0"/>
          <w:numId w:val="78"/>
        </w:numPr>
        <w:spacing w:lineRule="auto" w:line="240"/>
        <w:rPr/>
      </w:pPr>
      <w:r>
        <w:rPr/>
        <w:t>а) държавни, които се финансират от държавния бюджет чрез Агенцията за социално подпомагане;</w:t>
      </w:r>
    </w:p>
    <w:p>
      <w:pPr>
        <w:pStyle w:val="Normal"/>
        <w:numPr>
          <w:ilvl w:val="0"/>
          <w:numId w:val="78"/>
        </w:numPr>
        <w:spacing w:lineRule="auto" w:line="240"/>
        <w:rPr/>
      </w:pPr>
      <w:r>
        <w:rPr/>
        <w:t>б) общински, финансирани от общинските бюджети;</w:t>
      </w:r>
    </w:p>
    <w:p>
      <w:pPr>
        <w:pStyle w:val="Normal"/>
        <w:numPr>
          <w:ilvl w:val="0"/>
          <w:numId w:val="78"/>
        </w:numPr>
        <w:spacing w:lineRule="auto" w:line="240"/>
        <w:rPr/>
      </w:pPr>
      <w:r>
        <w:rPr/>
        <w:t>в) частни, финансирани от физически или юридически лица;</w:t>
      </w:r>
    </w:p>
    <w:p>
      <w:pPr>
        <w:pStyle w:val="Normal"/>
        <w:numPr>
          <w:ilvl w:val="0"/>
          <w:numId w:val="78"/>
        </w:numPr>
        <w:spacing w:lineRule="auto" w:line="240"/>
        <w:rPr/>
      </w:pPr>
      <w:r>
        <w:rPr/>
        <w:t>г) смесени въз основа на сключени договори между трите предходни субекти.</w:t>
      </w:r>
    </w:p>
    <w:p>
      <w:pPr>
        <w:pStyle w:val="Normal"/>
        <w:spacing w:lineRule="auto" w:line="240"/>
        <w:ind w:left="360" w:hanging="0"/>
        <w:rPr/>
      </w:pPr>
      <w:r>
        <w:rPr/>
        <w:t>Социалните услуги се групират в две групи: в  общността и в специализирани институции (в обичайна и извън обичайна домашна среда).</w:t>
      </w:r>
    </w:p>
    <w:p>
      <w:pPr>
        <w:pStyle w:val="NormalText"/>
        <w:rPr/>
      </w:pPr>
      <w:r>
        <w:rPr/>
        <w:t>Към първата група  се отнасят:</w:t>
      </w:r>
    </w:p>
    <w:p>
      <w:pPr>
        <w:pStyle w:val="Normal"/>
        <w:numPr>
          <w:ilvl w:val="0"/>
          <w:numId w:val="90"/>
        </w:numPr>
        <w:spacing w:lineRule="auto" w:line="240"/>
        <w:rPr/>
      </w:pPr>
      <w:r>
        <w:rPr/>
        <w:t>дневни  центрове (домове);</w:t>
      </w:r>
    </w:p>
    <w:p>
      <w:pPr>
        <w:pStyle w:val="Normal"/>
        <w:numPr>
          <w:ilvl w:val="0"/>
          <w:numId w:val="90"/>
        </w:numPr>
        <w:spacing w:lineRule="auto" w:line="240"/>
        <w:rPr/>
      </w:pPr>
      <w:r>
        <w:rPr/>
        <w:t>домашен социален патронаж;</w:t>
      </w:r>
    </w:p>
    <w:p>
      <w:pPr>
        <w:pStyle w:val="Normal"/>
        <w:numPr>
          <w:ilvl w:val="0"/>
          <w:numId w:val="90"/>
        </w:numPr>
        <w:spacing w:lineRule="auto" w:line="240"/>
        <w:rPr/>
      </w:pPr>
      <w:r>
        <w:rPr/>
        <w:t>центрове за социална рехабилитация и интеграция;</w:t>
      </w:r>
    </w:p>
    <w:p>
      <w:pPr>
        <w:pStyle w:val="Normal"/>
        <w:numPr>
          <w:ilvl w:val="0"/>
          <w:numId w:val="90"/>
        </w:numPr>
        <w:spacing w:lineRule="auto" w:line="240"/>
        <w:rPr/>
      </w:pPr>
      <w:r>
        <w:rPr/>
        <w:t>клубове за лица с увреждания;</w:t>
      </w:r>
    </w:p>
    <w:p>
      <w:pPr>
        <w:pStyle w:val="Normal"/>
        <w:numPr>
          <w:ilvl w:val="0"/>
          <w:numId w:val="90"/>
        </w:numPr>
        <w:spacing w:lineRule="auto" w:line="240"/>
        <w:rPr/>
      </w:pPr>
      <w:r>
        <w:rPr/>
        <w:t xml:space="preserve">центрове за временно настаняване на бездомни лица (за срок не повече от 3 месеца), кризисни центрове за лица, пострадали от насилие, защитени жилища;   и др. </w:t>
      </w:r>
    </w:p>
    <w:p>
      <w:pPr>
        <w:pStyle w:val="NormalText"/>
        <w:rPr/>
      </w:pPr>
      <w:r>
        <w:rPr/>
        <w:t>Най-нови са формите “личен асистент”, “социален асистент” и “домашен помощник”.</w:t>
      </w:r>
    </w:p>
    <w:p>
      <w:pPr>
        <w:pStyle w:val="NormalText"/>
        <w:rPr/>
      </w:pPr>
      <w:r>
        <w:rPr/>
        <w:t xml:space="preserve">Личен асистент е лице, полагащо постоянни грижи за възрастен с трайно увреждане, или за тежко болен. Социален асистент е лице, предоставящо комплекс от услуги, насочени към социална работа и консултации за пълноценна организация на свободното време на потребителите. Домашен помощник е лице, предоставящо услуги в домашни условия, насочени към поддържане на хигиената на обитаваното жилище, пазаруване и приготвяне на храна, пране и други комунално-битови дейности. </w:t>
      </w:r>
    </w:p>
    <w:p>
      <w:pPr>
        <w:pStyle w:val="Normal"/>
        <w:spacing w:lineRule="auto" w:line="240"/>
        <w:rPr/>
      </w:pPr>
      <w:r>
        <w:rPr/>
        <w:t xml:space="preserve">        </w:t>
      </w:r>
      <w:r>
        <w:rPr/>
        <w:t>Програмата “личен асистент” е част от Националната програма “От социални помощи към осигуряване на заетост”. Тя се финансира със средства от държавния бюджет, като работодател е Агенцията за социално подпомагане. Чрез тази програма се цели да се осигури качествена грижа в семейна среда на тежко болни и лица с трайни увреждания. Личният асистент поддържа ежедневно хигиената в дома на лицето, за което се грижи, личната му хигиена; извършва редица дейности в сферата на комунално-битовото му обслужване (пране, готвене, пазаруване и др.). Важни изисквания са: личният асистент да е в трудоспособна възраст, да не получава пенсия, да има регистрация в бюро по труда, да има постоянен адрес, идентичен с този на лицето, за което се грижи. Други изисквания са, че в програмата могат да бъдат включвани безработни, които са само членове на семейството или са роднини по възходяща или низходяща линия до втора степен, а също и такива по съребрена линия до втора степен на обслужваното лице. С промените от 11 май 2004 г. обаче се допускат изключения, когато грижите за нуждаещото се лице са полагани и се полагат от хора без родствена връзка с обслужвания, те не са му роднини и нямат кръвна връзка; когато болният или инвалидът нямат близки или когато личният асистент не отговоря на условията за месечно подпомагане от ППЗСП, но полага постоянни грижи. Включените безработни лица в дейността “личен асистент” подлежат на ежемесечна проверка и контрол от дирекциите “Социално подпомагане” за качеството на извършваната от тях услуга. Програмата е в сила до края на 2005 г.</w:t>
      </w:r>
    </w:p>
    <w:p>
      <w:pPr>
        <w:pStyle w:val="Normal"/>
        <w:spacing w:lineRule="auto" w:line="240"/>
        <w:rPr/>
      </w:pPr>
      <w:r>
        <w:rPr/>
        <w:t xml:space="preserve">        </w:t>
      </w:r>
      <w:r>
        <w:rPr/>
        <w:t>Програмата “социален асистент” е също част от Националната програма “От социални помощи към осигуряване на заетост”.  Целта е да се подобри качеството на живот на хора с трайни увреждания с 90 % и над 90 % намалена работоспособност с определена чужда помощ, на тежко болни стари хора, които са самотни и се нуждаят от постоянни грижи, което е удостоверено от ЛКК и са подлежащи за представяне пред ТЕЛК/РЕЛК. Социалният асистент трябва да е безработен, да е в трудоспособна възраст, да няма право на пенсия и да отговаря на условията за месечно подпомагане по чл. 9/ ППЗСП. Той извършва различни почасови услуги в бита: поддържане на лична хигиена, поддържане на хигиена в жилището на обслужвания; закупуване на хранителни продукти, приготвяне на храна. Може да изпълнява и редица комунално-битови и административни услуги. Работодатели на програмата са общинските администрации, Агенцията за социално подпомагане, физически и юридически лица, вписани в регистъра й.   Не се изисква роднинска връзка или идентичност на адресите на социалния асистент и обслужваните.</w:t>
      </w:r>
    </w:p>
    <w:p>
      <w:pPr>
        <w:pStyle w:val="Normal"/>
        <w:spacing w:lineRule="auto" w:line="240"/>
        <w:rPr/>
      </w:pPr>
      <w:r>
        <w:rPr/>
        <w:t xml:space="preserve">        </w:t>
      </w:r>
      <w:r>
        <w:rPr/>
        <w:t xml:space="preserve">Услугата “домашен помощник” е подобна на услугата “личен асистент”. Целта и тук е да се осигури качествено обслужване в семейна среда на лица с трайни увреждания с 90 % или над 90 % намалена работоспособност с чужда помощ, на болни самотни хора. Финансирането на програмата е също от държавния бюджет.  </w:t>
      </w:r>
    </w:p>
    <w:p>
      <w:pPr>
        <w:pStyle w:val="Normal"/>
        <w:spacing w:lineRule="auto" w:line="240"/>
        <w:rPr/>
      </w:pPr>
      <w:r>
        <w:rPr/>
        <w:t xml:space="preserve">      </w:t>
      </w:r>
      <w:r>
        <w:rPr/>
        <w:t>Дневните домове (центрове) имат за задача да създадат условия за обслужване през деня на:</w:t>
      </w:r>
    </w:p>
    <w:p>
      <w:pPr>
        <w:pStyle w:val="Normal"/>
        <w:numPr>
          <w:ilvl w:val="0"/>
          <w:numId w:val="41"/>
        </w:numPr>
        <w:spacing w:lineRule="auto" w:line="240"/>
        <w:rPr/>
      </w:pPr>
      <w:r>
        <w:rPr/>
        <w:t>лица с физически увреждания, с определена първа или втора група инвалидност;</w:t>
      </w:r>
    </w:p>
    <w:p>
      <w:pPr>
        <w:pStyle w:val="Normal"/>
        <w:numPr>
          <w:ilvl w:val="0"/>
          <w:numId w:val="41"/>
        </w:numPr>
        <w:spacing w:lineRule="auto" w:line="240"/>
        <w:rPr/>
      </w:pPr>
      <w:r>
        <w:rPr/>
        <w:t>лица над 60-годишна възраст.</w:t>
      </w:r>
    </w:p>
    <w:p>
      <w:pPr>
        <w:pStyle w:val="Normal"/>
        <w:spacing w:lineRule="auto" w:line="240"/>
        <w:ind w:left="360" w:hanging="0"/>
        <w:rPr/>
      </w:pPr>
      <w:r>
        <w:rPr/>
        <w:t>В тези домове се предлагат следните социални услуги:</w:t>
      </w:r>
    </w:p>
    <w:p>
      <w:pPr>
        <w:pStyle w:val="Normal"/>
        <w:numPr>
          <w:ilvl w:val="0"/>
          <w:numId w:val="20"/>
        </w:numPr>
        <w:spacing w:lineRule="auto" w:line="240"/>
        <w:rPr/>
      </w:pPr>
      <w:r>
        <w:rPr/>
        <w:t>хранене;</w:t>
      </w:r>
    </w:p>
    <w:p>
      <w:pPr>
        <w:pStyle w:val="Normal"/>
        <w:numPr>
          <w:ilvl w:val="0"/>
          <w:numId w:val="20"/>
        </w:numPr>
        <w:spacing w:lineRule="auto" w:line="240"/>
        <w:rPr/>
      </w:pPr>
      <w:r>
        <w:rPr/>
        <w:t>условия за почивка;</w:t>
      </w:r>
    </w:p>
    <w:p>
      <w:pPr>
        <w:pStyle w:val="Normal"/>
        <w:numPr>
          <w:ilvl w:val="0"/>
          <w:numId w:val="20"/>
        </w:numPr>
        <w:spacing w:lineRule="auto" w:line="240"/>
        <w:rPr/>
      </w:pPr>
      <w:r>
        <w:rPr/>
        <w:t>хигиенни услуги;</w:t>
      </w:r>
    </w:p>
    <w:p>
      <w:pPr>
        <w:pStyle w:val="Normal"/>
        <w:numPr>
          <w:ilvl w:val="0"/>
          <w:numId w:val="20"/>
        </w:numPr>
        <w:spacing w:lineRule="auto" w:line="240"/>
        <w:rPr/>
      </w:pPr>
      <w:r>
        <w:rPr/>
        <w:t>комплексна рехабилитация;</w:t>
      </w:r>
    </w:p>
    <w:p>
      <w:pPr>
        <w:pStyle w:val="Normal"/>
        <w:numPr>
          <w:ilvl w:val="0"/>
          <w:numId w:val="20"/>
        </w:numPr>
        <w:spacing w:lineRule="auto" w:line="240"/>
        <w:rPr/>
      </w:pPr>
      <w:r>
        <w:rPr/>
        <w:t>обучение за придобиване и използване на опит;</w:t>
      </w:r>
    </w:p>
    <w:p>
      <w:pPr>
        <w:pStyle w:val="Normal"/>
        <w:numPr>
          <w:ilvl w:val="0"/>
          <w:numId w:val="20"/>
        </w:numPr>
        <w:spacing w:lineRule="auto" w:line="240"/>
        <w:rPr/>
      </w:pPr>
      <w:r>
        <w:rPr/>
        <w:t>обучение за развитие на индивидуалните възможности;</w:t>
      </w:r>
    </w:p>
    <w:p>
      <w:pPr>
        <w:pStyle w:val="Normal"/>
        <w:numPr>
          <w:ilvl w:val="0"/>
          <w:numId w:val="20"/>
        </w:numPr>
        <w:spacing w:lineRule="auto" w:line="240"/>
        <w:rPr/>
      </w:pPr>
      <w:r>
        <w:rPr/>
        <w:t>обучение за общуване и живот в обществото;</w:t>
      </w:r>
    </w:p>
    <w:p>
      <w:pPr>
        <w:pStyle w:val="Normal"/>
        <w:numPr>
          <w:ilvl w:val="0"/>
          <w:numId w:val="20"/>
        </w:numPr>
        <w:spacing w:lineRule="auto" w:line="240"/>
        <w:rPr/>
      </w:pPr>
      <w:r>
        <w:rPr/>
        <w:t>обучение за трудови навици и самостоятелен труд;</w:t>
      </w:r>
    </w:p>
    <w:p>
      <w:pPr>
        <w:pStyle w:val="Normal"/>
        <w:numPr>
          <w:ilvl w:val="0"/>
          <w:numId w:val="20"/>
        </w:numPr>
        <w:spacing w:lineRule="auto" w:line="240"/>
        <w:rPr/>
      </w:pPr>
      <w:r>
        <w:rPr/>
        <w:t>обучение за двигателно развитие и координация.</w:t>
      </w:r>
    </w:p>
    <w:p>
      <w:pPr>
        <w:pStyle w:val="NormalText"/>
        <w:rPr/>
      </w:pPr>
      <w:r>
        <w:rPr/>
        <w:t xml:space="preserve">Домашният социален патронаж е форма на социално обслужване по домовете на лица над 60-годишна възраст и такива с трайно увреждане  от първа и втора група инвалидност, които са затруднени самостоятелно или с помощта на близките да организират своя бит. Домашният социален патронаж има за цел да повиши жизненото равнище на обслужваните лица, да съдейства за продължаване на самостоятелния им живот, като се създават възможности за осигуряване на съответните условия по домовете им. </w:t>
      </w:r>
    </w:p>
    <w:p>
      <w:pPr>
        <w:pStyle w:val="NormalText"/>
        <w:rPr/>
      </w:pPr>
      <w:r>
        <w:rPr/>
        <w:t>Социалните услуги, извършвани от домашния социален патронаж, включват:</w:t>
      </w:r>
    </w:p>
    <w:p>
      <w:pPr>
        <w:pStyle w:val="Normal"/>
        <w:numPr>
          <w:ilvl w:val="0"/>
          <w:numId w:val="66"/>
        </w:numPr>
        <w:spacing w:lineRule="auto" w:line="240"/>
        <w:rPr/>
      </w:pPr>
      <w:r>
        <w:rPr/>
        <w:t>доставяне на топла или суха храна;</w:t>
      </w:r>
    </w:p>
    <w:p>
      <w:pPr>
        <w:pStyle w:val="Normal"/>
        <w:numPr>
          <w:ilvl w:val="0"/>
          <w:numId w:val="66"/>
        </w:numPr>
        <w:spacing w:lineRule="auto" w:line="240"/>
        <w:rPr/>
      </w:pPr>
      <w:r>
        <w:rPr/>
        <w:t>поддържане на личната хигиена и хигиената в дома;</w:t>
      </w:r>
    </w:p>
    <w:p>
      <w:pPr>
        <w:pStyle w:val="Normal"/>
        <w:numPr>
          <w:ilvl w:val="0"/>
          <w:numId w:val="66"/>
        </w:numPr>
        <w:spacing w:lineRule="auto" w:line="240"/>
        <w:rPr/>
      </w:pPr>
      <w:r>
        <w:rPr/>
        <w:t>съдействие за снабдяване с необходимите помощни средства при инвалидност или тежко заболяване;</w:t>
      </w:r>
    </w:p>
    <w:p>
      <w:pPr>
        <w:pStyle w:val="Normal"/>
        <w:numPr>
          <w:ilvl w:val="0"/>
          <w:numId w:val="66"/>
        </w:numPr>
        <w:spacing w:lineRule="auto" w:line="240"/>
        <w:rPr/>
      </w:pPr>
      <w:r>
        <w:rPr/>
        <w:t>помощ в комуникациите и в поддържането на социални контакти, развлечения и занимания в къщи или в организирани навън мероприятия;</w:t>
      </w:r>
    </w:p>
    <w:p>
      <w:pPr>
        <w:pStyle w:val="Normal"/>
        <w:numPr>
          <w:ilvl w:val="0"/>
          <w:numId w:val="66"/>
        </w:numPr>
        <w:spacing w:lineRule="auto" w:line="240"/>
        <w:rPr/>
      </w:pPr>
      <w:r>
        <w:rPr/>
        <w:t>битови услуги (закупуване на хранителни продукти от първа необходимост, заплащане на ел. енергия, ТЕЦ, телефон и други с лични средства на лицата).</w:t>
      </w:r>
    </w:p>
    <w:p>
      <w:pPr>
        <w:pStyle w:val="NormalText"/>
        <w:rPr/>
      </w:pPr>
      <w:r>
        <w:rPr/>
        <w:t>Тази форма на грижи за старите хора в собственото жилище е предпочитана, защото не ги окъсва от обичайната им среда и не ги излага на психичен стрес, неизбежен при настаняване в заведенията за социални грижи. Нормативните документи, които регламентират дейността на Домашния социален патронаж, са: Правилник за приложение на закона за социално подпомагане (глава трета);  Закон за местните данъци и такси; Указания за определяне размера на таксите; Заповед за определяне на щатовете за здравните заведения  за социални услуги.</w:t>
      </w:r>
    </w:p>
    <w:p>
      <w:pPr>
        <w:pStyle w:val="NormalText"/>
        <w:rPr/>
      </w:pPr>
      <w:r>
        <w:rPr/>
        <w:t xml:space="preserve">Други форми за социални услуги в обичайна домашна среда са: бюрата за социални дейности, които могат да се изграждат по преценка на кметовете на общините,  центровете за социална рехабилитация и интеграция, обществените трапезарии, клубовете за лица с увреждания, клубовете на пенсионера  и пр. От началото  на 2003 г. у нас се прилага проектът “Домашни грижи” на Българския червен кръст. Той е заимстван изцяло от Швейцария и Германия. Обслужваните се намират в домовете си, а персоналът на центъра “Домашни грижи” идва при тях. Обслужват се болни, стари, самотни, инвалиди. Този проект има за партньори швейцарския, британския, германския и американския червен кръст.  Друг проект, разработен също от БЧК е “СЕИН”, основаващ се на британския модел за социални грижи за възрастни хора над 65 години – тежко болни, самотни или инвалиди. Услугите не са безплатни, но заплащането е символично – от 0,50 лв.  до 5,70 лв. месечно в зависимост от пакета услуги, който желаят да получават старите хора през месеца. </w:t>
      </w:r>
    </w:p>
    <w:p>
      <w:pPr>
        <w:pStyle w:val="Normal"/>
        <w:spacing w:lineRule="auto" w:line="240"/>
        <w:rPr/>
      </w:pPr>
      <w:r>
        <w:rPr/>
        <w:t xml:space="preserve">        </w:t>
      </w:r>
      <w:r>
        <w:rPr/>
        <w:t xml:space="preserve">Кризисните центрове са нова форма на обслужване, чрез която се предлагат комплекс от социални услуги на лица, пострадали от насилие. Те са предназначени за задоволяване на ежедневните потребности на клиентите и не изискват обслужваното лице да се отделя от обичайната семейна обстановка. </w:t>
      </w:r>
    </w:p>
    <w:p>
      <w:pPr>
        <w:pStyle w:val="Normal"/>
        <w:spacing w:lineRule="auto" w:line="240"/>
        <w:rPr/>
      </w:pPr>
      <w:r>
        <w:rPr/>
        <w:t xml:space="preserve">        </w:t>
      </w:r>
      <w:r>
        <w:rPr/>
        <w:t xml:space="preserve">Услугите “Защитени жилища” са форми на социално обслужване на лица в напреднала и старческа възраст, в които те водят независим начин на живот, подпомагани от професионалисти. </w:t>
      </w:r>
    </w:p>
    <w:p>
      <w:pPr>
        <w:pStyle w:val="Normal"/>
        <w:spacing w:lineRule="auto" w:line="240"/>
        <w:rPr/>
      </w:pPr>
      <w:r>
        <w:rPr/>
        <w:t>Социалните услуги, извършвани извън обичайна домашна среда се предоставят от:</w:t>
      </w:r>
    </w:p>
    <w:p>
      <w:pPr>
        <w:pStyle w:val="Normal"/>
        <w:numPr>
          <w:ilvl w:val="0"/>
          <w:numId w:val="52"/>
        </w:numPr>
        <w:spacing w:lineRule="auto" w:line="240"/>
        <w:rPr/>
      </w:pPr>
      <w:r>
        <w:rPr/>
        <w:t>домове за стари хора;</w:t>
      </w:r>
    </w:p>
    <w:p>
      <w:pPr>
        <w:pStyle w:val="Normal"/>
        <w:numPr>
          <w:ilvl w:val="0"/>
          <w:numId w:val="52"/>
        </w:numPr>
        <w:spacing w:lineRule="auto" w:line="240"/>
        <w:rPr/>
      </w:pPr>
      <w:r>
        <w:rPr/>
        <w:t>домове за временно настаняване;</w:t>
      </w:r>
    </w:p>
    <w:p>
      <w:pPr>
        <w:pStyle w:val="Normal"/>
        <w:numPr>
          <w:ilvl w:val="0"/>
          <w:numId w:val="52"/>
        </w:numPr>
        <w:spacing w:lineRule="auto" w:line="240"/>
        <w:rPr/>
      </w:pPr>
      <w:r>
        <w:rPr/>
        <w:t>домове за лица с физически увреждания;</w:t>
      </w:r>
    </w:p>
    <w:p>
      <w:pPr>
        <w:pStyle w:val="Normal"/>
        <w:numPr>
          <w:ilvl w:val="0"/>
          <w:numId w:val="52"/>
        </w:numPr>
        <w:spacing w:lineRule="auto" w:line="240"/>
        <w:rPr/>
      </w:pPr>
      <w:r>
        <w:rPr/>
        <w:t xml:space="preserve">домове за лица с умствени увреждания; </w:t>
      </w:r>
    </w:p>
    <w:p>
      <w:pPr>
        <w:pStyle w:val="Normal"/>
        <w:numPr>
          <w:ilvl w:val="0"/>
          <w:numId w:val="52"/>
        </w:numPr>
        <w:spacing w:lineRule="auto" w:line="240"/>
        <w:rPr/>
      </w:pPr>
      <w:r>
        <w:rPr/>
        <w:t>сезонни домове; и др.</w:t>
      </w:r>
    </w:p>
    <w:p>
      <w:pPr>
        <w:pStyle w:val="Normal"/>
        <w:spacing w:lineRule="auto" w:line="240"/>
        <w:rPr/>
      </w:pPr>
      <w:r>
        <w:rPr/>
        <w:t xml:space="preserve">        </w:t>
      </w:r>
      <w:r>
        <w:rPr/>
        <w:t>Заведенията за социални услуги с откъсване от обичайната домашна среда предоставят следните основни социални услуги:</w:t>
      </w:r>
    </w:p>
    <w:p>
      <w:pPr>
        <w:pStyle w:val="Normal"/>
        <w:numPr>
          <w:ilvl w:val="0"/>
          <w:numId w:val="3"/>
        </w:numPr>
        <w:spacing w:lineRule="auto" w:line="240"/>
        <w:rPr/>
      </w:pPr>
      <w:r>
        <w:rPr/>
        <w:t>битово устройване;</w:t>
      </w:r>
    </w:p>
    <w:p>
      <w:pPr>
        <w:pStyle w:val="Normal"/>
        <w:numPr>
          <w:ilvl w:val="0"/>
          <w:numId w:val="3"/>
        </w:numPr>
        <w:spacing w:lineRule="auto" w:line="240"/>
        <w:rPr/>
      </w:pPr>
      <w:r>
        <w:rPr/>
        <w:t>хранене, съобразено с възрастта и здравословното състояние;</w:t>
      </w:r>
    </w:p>
    <w:p>
      <w:pPr>
        <w:pStyle w:val="Normal"/>
        <w:numPr>
          <w:ilvl w:val="0"/>
          <w:numId w:val="3"/>
        </w:numPr>
        <w:spacing w:lineRule="auto" w:line="240"/>
        <w:rPr/>
      </w:pPr>
      <w:r>
        <w:rPr/>
        <w:t>поддържане на личната хигиена и хигиената на околната среда;</w:t>
      </w:r>
    </w:p>
    <w:p>
      <w:pPr>
        <w:pStyle w:val="Normal"/>
        <w:numPr>
          <w:ilvl w:val="0"/>
          <w:numId w:val="3"/>
        </w:numPr>
        <w:spacing w:lineRule="auto" w:line="240"/>
        <w:rPr/>
      </w:pPr>
      <w:r>
        <w:rPr/>
        <w:t>поддържащо лечение;</w:t>
      </w:r>
    </w:p>
    <w:p>
      <w:pPr>
        <w:pStyle w:val="Normal"/>
        <w:numPr>
          <w:ilvl w:val="0"/>
          <w:numId w:val="3"/>
        </w:numPr>
        <w:spacing w:lineRule="auto" w:line="240"/>
        <w:rPr/>
      </w:pPr>
      <w:r>
        <w:rPr/>
        <w:t>комплексна рехабилитация;</w:t>
      </w:r>
    </w:p>
    <w:p>
      <w:pPr>
        <w:pStyle w:val="Normal"/>
        <w:numPr>
          <w:ilvl w:val="0"/>
          <w:numId w:val="3"/>
        </w:numPr>
        <w:spacing w:lineRule="auto" w:line="240"/>
        <w:rPr/>
      </w:pPr>
      <w:r>
        <w:rPr/>
        <w:t>ежегодни профилактични прегледи.</w:t>
      </w:r>
    </w:p>
    <w:p>
      <w:pPr>
        <w:pStyle w:val="Normal"/>
        <w:spacing w:lineRule="auto" w:line="240"/>
        <w:rPr/>
      </w:pPr>
      <w:r>
        <w:rPr/>
        <w:t xml:space="preserve">        </w:t>
      </w:r>
      <w:r>
        <w:rPr/>
        <w:t xml:space="preserve">Настаняването в домовете за стари хора и в другите специализирани институции става след изчерпване на възможностите за социално включване в алтернативните на тях форми за оказване на помощ на нуждаещите се. Имат се предвид дневните центрове, центровете за социална рехабилитация и интеграция, както и включването в дейностите “Личен асистент”, “Социален асистент” и “Домашен помощник”. Когато се установи, че  посочените непансионатни  решения не могат да се използват, социалните работници препоръчват настаняване в дом за стари хора или в друга специализирана институция. Лицата, които желаят да бъдат настанени в дом за стари хора подават молба по образец до директора на Дирекция “Социално подпомагане” по сегашния си адрес. Текстът на алинея втора от чл. 40 на Правилника за прилагане на Закона за социално подпомагане изисква към молбата да се приложат копия от документа за самоличност, от личния амбулаторен картон, ако има такъв, и от решението на ТЕЛК, НЕЛК, РЕЛКК, ЦЕЛКК, ЛКК, ако има такова. При необходимост могат да бъдат поискани и други документи (медицинска характеристика от ОПК лекар по местоживеене за общото здравословно състояние (анамнеза, соматичен, неврологичен и психичен статус), степен на подвижност и самообслужване, хронични заболявания; медицинско удостоверение за психично състояние). </w:t>
      </w:r>
    </w:p>
    <w:p>
      <w:pPr>
        <w:pStyle w:val="Normal"/>
        <w:spacing w:lineRule="auto" w:line="240"/>
        <w:rPr/>
      </w:pPr>
      <w:r>
        <w:rPr/>
        <w:t xml:space="preserve">        </w:t>
      </w:r>
      <w:r>
        <w:rPr/>
        <w:t>Настаняването се извършва въз основа на доклад-предложение и на социална оценка на потребността на лицето от социални услуги. Показателите, които се вземат предвид при оценката, са възрастта, която трябва да е надтрудоспособна, здравословното състояние, семейното положение, материално-битовото състояние и доходите. Когато лицето не е придобило право на пенсия, то бива настанявано в дома за стари хора на пълна държавна издръжка.</w:t>
      </w:r>
    </w:p>
    <w:p>
      <w:pPr>
        <w:pStyle w:val="Normal"/>
        <w:spacing w:lineRule="auto" w:line="240"/>
        <w:rPr/>
      </w:pPr>
      <w:r>
        <w:rPr/>
        <w:t xml:space="preserve">        </w:t>
      </w:r>
      <w:r>
        <w:rPr/>
        <w:t xml:space="preserve">Таксите за социални услуги в дейностите държавна отговорност, финансирани от републиканския бюджет чрез бюджета на общините, се определят в процент от дохода на лицето. По силата на Постановление № 91 от 21 април 2003 г. размерът на таксата за пребиваване в дом за стари хора е 70 % от този доход. Таксата не може да надвишава действителните месечни разходи за издръжка на едно лице, които включват месечните разходи за храна, за постелен инвентар и облекло и за перилни и хигиенни материали, както и съответна част от общите разходи за електроенергия, топлинна енергия, вода, канализация и битови отпадъци за единица жилищна площ, ползвана от лицето. Всички останали разходи – за работна заплата и за осигуровки на персонала, за ремонти и др. – са за сметка на бюджета на институцията. Ветераните от войните плащат такса в размер на 30 % от пенсията или от сбора на пенсиите си. </w:t>
      </w:r>
    </w:p>
    <w:p>
      <w:pPr>
        <w:pStyle w:val="Normal"/>
        <w:spacing w:lineRule="auto" w:line="240"/>
        <w:rPr/>
      </w:pPr>
      <w:r>
        <w:rPr/>
        <w:t xml:space="preserve">        </w:t>
      </w:r>
      <w:r>
        <w:rPr/>
        <w:t xml:space="preserve">Редица социални услуги се предоставят от физически лица, регистрирани по търговския закон, от юридически лица, от частни фондации, сдружения и пр. В последните години се наблюдава тенденцията за все по-масовото навлизане на частния сектор в сферата на социалните услуги. Срещу заплащане частни фирми за социални и медицински услуги осигуряват денонощни грижи за стари хора, болни и инвалиди по домовете. Първият частен дом за лица от третата възраст е основан от семейство д-р Христови и  се намира в София (до резиденция Бояна). Такива домове има в кв. “Драгалевци”, в кв. “Горна баня” в София, в Банкя, в редица други градове, като Варна, Сливен, Монтана и др. </w:t>
      </w:r>
    </w:p>
    <w:p>
      <w:pPr>
        <w:pStyle w:val="Normal"/>
        <w:spacing w:lineRule="auto" w:line="240"/>
        <w:rPr/>
      </w:pPr>
      <w:r>
        <w:rPr/>
        <w:t xml:space="preserve">        </w:t>
      </w:r>
      <w:r>
        <w:rPr/>
        <w:t xml:space="preserve">Известна с благотворителната си дейност е Донка Паприкова, която през 2001 г. основа първият у нас хоспис “Милосърдие”. Управител на хосписа е нейната дъщеря – Зоя Паприкова. В него се полагат грижи за болни стари хора до края на живота им. Донка Паприкова и дъщеря й са инициатори за създаване на клуб на пенсионера “Сребърна есен”.  </w:t>
      </w:r>
    </w:p>
    <w:p>
      <w:pPr>
        <w:pStyle w:val="Normal"/>
        <w:spacing w:lineRule="auto" w:line="240"/>
        <w:rPr/>
      </w:pPr>
      <w:r>
        <w:rPr/>
        <w:t xml:space="preserve">        </w:t>
      </w:r>
      <w:r>
        <w:rPr/>
        <w:t>Трябва да отбележим, че в институциите за социални услуги се обслужва незначителна част от хората  в напреднала и старческа възраст. Като се вземе под внимание опитът на страните от Европейския съюз могат да се формулират редица препоръки за усъвършенстване на цялостната дейност в тази насока:</w:t>
      </w:r>
    </w:p>
    <w:p>
      <w:pPr>
        <w:pStyle w:val="Normal"/>
        <w:numPr>
          <w:ilvl w:val="0"/>
          <w:numId w:val="21"/>
        </w:numPr>
        <w:spacing w:lineRule="auto" w:line="240"/>
        <w:rPr/>
      </w:pPr>
      <w:r>
        <w:rPr/>
        <w:t xml:space="preserve">Грижата в домовете за стари хора е доста скъпа алтернатива. Много от тях се нуждаят от грижи само през определено време от деня, което означава че пребиваването им през цялото денонощие изисква изразходване на много повече средства, отколкото е необходимо. Целесъобразно е да се прилагат т.нар. механизми за осигуряване на “охрана на врата”, т.е. приемането в институционализираните специализирани  домове да става само след внимателна преценка на действителните потребности на наистина нуждаещите се лица, като по този начин се възпират онези, мястото на които не е там. С други думи, постепенно да се осъществява действителен преход от системата на старческите домове към полагането на грижи за старите хора в обществена среда.   </w:t>
      </w:r>
    </w:p>
    <w:p>
      <w:pPr>
        <w:pStyle w:val="Normal"/>
        <w:numPr>
          <w:ilvl w:val="0"/>
          <w:numId w:val="21"/>
        </w:numPr>
        <w:spacing w:lineRule="auto" w:line="240"/>
        <w:rPr/>
      </w:pPr>
      <w:r>
        <w:rPr/>
        <w:t>Да се полагат усилия за изграждане на една по-ефективна мрежа от неформални и формални структури с цел осъществяването на тази нова тенденция. Към неформалните структури се отнасят семейството, приятелите, съседите, а към формалните – домашния социален патронаж, дневните центрове, бюрата за социални услуги и др. Важно междинно  звено за социално подпомагане са групите за оказване на самопомощ, социалните клубове, клубовете за обяд и др.  Подготовката и формите за преход от институционални грижи към социални услуги в обществена среда включват ежедневни грижи за старите хора, кратък отдих в специално създадени за тази цел домове, разделяне на голям по площ апартамент между няколко самотни стари хора, разгърнато развитие на системата на социалния патронаж в цялата страна. Не по-малко важно е значението на горещите телефонни линии за ползване от стари хора в случай на възникнали в дома им проблеми.</w:t>
      </w:r>
    </w:p>
    <w:p>
      <w:pPr>
        <w:pStyle w:val="Normal"/>
        <w:numPr>
          <w:ilvl w:val="0"/>
          <w:numId w:val="21"/>
        </w:numPr>
        <w:spacing w:lineRule="auto" w:line="240"/>
        <w:rPr/>
      </w:pPr>
      <w:r>
        <w:rPr/>
        <w:t>Оказване на самопомощ, т.е. грижа на стари хора за стари хора. Много от хората в пенсионна възраст имат добри организаторски умения. Международни експерти препоръчват да бъдат въвеждани местни системи за обмен (МСО), които включват както самопомощ в рамките на едни или други регионални групи, така и съвместни инициативи за съдействие в страните от Европейската общност.</w:t>
      </w:r>
    </w:p>
    <w:p>
      <w:pPr>
        <w:pStyle w:val="Normal"/>
        <w:numPr>
          <w:ilvl w:val="0"/>
          <w:numId w:val="21"/>
        </w:numPr>
        <w:spacing w:lineRule="auto" w:line="240"/>
        <w:rPr/>
      </w:pPr>
      <w:r>
        <w:rPr/>
        <w:t>С нарастването на възрастовата граница на пенсиониране да се осигурява възможност на хората в напреднала възраст, ако желаят, да продължат да работят. Те биха могли да извършват множество различни дейности, като използват натрупания свой професионален и житейски опит.</w:t>
      </w:r>
    </w:p>
    <w:p>
      <w:pPr>
        <w:pStyle w:val="Normal"/>
        <w:numPr>
          <w:ilvl w:val="0"/>
          <w:numId w:val="21"/>
        </w:numPr>
        <w:spacing w:lineRule="auto" w:line="240"/>
        <w:rPr/>
      </w:pPr>
      <w:r>
        <w:rPr/>
        <w:t>Претворяването на практика на концепцията за “обучение и учене през целия живот” изисква  у нас по-широко да се използва опитът на “университетите на третата възраст”. Освен това в семейства, където има стари хора, по-младите членове на тези семейства би могло специално да се обучават как да се грижат за по-възрастните си близки. Такова обучение би могло да се организира от болници, старчески домове, университети,  от Червения кръст и различни неправителствени организации. То ще им помогне да овладеят уменията за полагане на грижи и в частност за преодоляване на страха от това да оказват помощ на стари хора.</w:t>
      </w:r>
    </w:p>
    <w:p>
      <w:pPr>
        <w:pStyle w:val="Normal"/>
        <w:numPr>
          <w:ilvl w:val="0"/>
          <w:numId w:val="21"/>
        </w:numPr>
        <w:spacing w:lineRule="auto" w:line="240"/>
        <w:rPr/>
      </w:pPr>
      <w:r>
        <w:rPr/>
        <w:t xml:space="preserve">Значително да се разшири дейността на неправителствените организации, както и на църквата за оказване на грижи за старите хора. Известно е колко голямо значение придават мнозина стари хора на съблюдаването на религиозните порядки, уважението, което хранят към църквата като институция. </w:t>
      </w:r>
    </w:p>
    <w:p>
      <w:pPr>
        <w:pStyle w:val="Normal"/>
        <w:numPr>
          <w:ilvl w:val="0"/>
          <w:numId w:val="21"/>
        </w:numPr>
        <w:spacing w:lineRule="auto" w:line="240"/>
        <w:rPr/>
      </w:pPr>
      <w:r>
        <w:rPr/>
        <w:t xml:space="preserve">Да не се подценяват възможностите, които предоставят клубовете на пенсионерите. Както е известно, тяхното изграждане бе регламентирано с Решение № 160/29.04. 1964 г. на Министерския съвет. След 1987 г. обаче общинските съвети започнаха масово да преустройват така необходимите клубове за стари хора  и за лица с увреждания  в клубове на политическите партии. На много места тези клубове се закриха поради реституция на сградите или въобще поради неразбиране. Клубът на пенсионера предоставя широки възможности особено за групова работа, за формиране на мнение по важни държавни, политически и обществени въпроси. Могат да се използват най-различни форми за  комуникация между пенсионерите, за полезно прекарване на свободното време, за занимания по интереси. В някои от сега действащите клубове основно внимание се обръща на защитата на интересите на пенсионерите, за организиране на екскурзии, на светски и религиозни празници, за празнуване на рождени, именни дни и други събития. </w:t>
      </w:r>
    </w:p>
    <w:p>
      <w:pPr>
        <w:pStyle w:val="Normal"/>
        <w:numPr>
          <w:ilvl w:val="0"/>
          <w:numId w:val="21"/>
        </w:numPr>
        <w:spacing w:lineRule="auto" w:line="240"/>
        <w:rPr/>
      </w:pPr>
      <w:r>
        <w:rPr/>
        <w:t xml:space="preserve">Все по-широко приложение да намират различните форми на комплексно социално-медицинско обслужване в съвременните институции, занимаващи се с извършването им (домове за стари хора, медицински заведения, домове за лица с трайни увреждания, в общността и пр.), а именно: </w:t>
      </w:r>
    </w:p>
    <w:p>
      <w:pPr>
        <w:pStyle w:val="Normal"/>
        <w:numPr>
          <w:ilvl w:val="0"/>
          <w:numId w:val="81"/>
        </w:numPr>
        <w:spacing w:lineRule="auto" w:line="240"/>
        <w:rPr/>
      </w:pPr>
      <w:r>
        <w:rPr/>
        <w:t>комплексно индивидуално социално-медицинско обслужване;</w:t>
      </w:r>
    </w:p>
    <w:p>
      <w:pPr>
        <w:pStyle w:val="Normal"/>
        <w:numPr>
          <w:ilvl w:val="0"/>
          <w:numId w:val="81"/>
        </w:numPr>
        <w:spacing w:lineRule="auto" w:line="240"/>
        <w:rPr/>
      </w:pPr>
      <w:r>
        <w:rPr/>
        <w:t>съжителство по двойки;</w:t>
      </w:r>
    </w:p>
    <w:p>
      <w:pPr>
        <w:pStyle w:val="Normal"/>
        <w:numPr>
          <w:ilvl w:val="0"/>
          <w:numId w:val="81"/>
        </w:numPr>
        <w:spacing w:lineRule="auto" w:line="240"/>
        <w:rPr/>
      </w:pPr>
      <w:r>
        <w:rPr/>
        <w:t>живот в група;</w:t>
      </w:r>
    </w:p>
    <w:p>
      <w:pPr>
        <w:pStyle w:val="Normal"/>
        <w:numPr>
          <w:ilvl w:val="0"/>
          <w:numId w:val="81"/>
        </w:numPr>
        <w:spacing w:lineRule="auto" w:line="240"/>
        <w:rPr/>
      </w:pPr>
      <w:r>
        <w:rPr/>
        <w:t>колективен живот.</w:t>
      </w:r>
    </w:p>
    <w:p>
      <w:pPr>
        <w:pStyle w:val="Normal"/>
        <w:spacing w:lineRule="auto" w:line="240"/>
        <w:ind w:left="360" w:hanging="0"/>
        <w:rPr/>
      </w:pPr>
      <w:r>
        <w:rPr/>
        <w:t xml:space="preserve">По-конкретните най-разнообразни форми на социална работа с възрастни хора тук не се разглеждат подробно , тъй като в учебния план на студентите от специалността “социална педагогика” е включена отделна дисциплина “работа с възрастни и лица с увреждания”. В приетия от Народното събрание на Република България Закон за интеграция на хората с увреждания (обнародван в Държавен вестник -  бр. 81 от 17 септември 2004 г.) се регламентират различните форми за медицинска и социална рехабилитация на лицата с увреждания и тяхната интеграция в обществото. Във връзка с уеднаквяване на практиката по прилагане на методика на социалните услуги за хора с психични разстройства Агенцията за социално подпомагане е утвърдила унифицирана методика.  </w:t>
      </w:r>
    </w:p>
    <w:p>
      <w:pPr>
        <w:pStyle w:val="Normal"/>
        <w:spacing w:lineRule="auto" w:line="240"/>
        <w:ind w:left="360" w:hanging="0"/>
        <w:rPr/>
      </w:pPr>
      <w:r>
        <w:rPr/>
        <w:t xml:space="preserve">      </w:t>
      </w:r>
      <w:r>
        <w:rPr/>
        <w:t>Социално-педагогическата работа в домовете за стари хора (ДСХ) има своята специфика, тъй като това са хора, чиято психика не се “моделира” лесно, както при подрастващите. Необходимо е да се прилага висококвалифициран педагогически подход и такт към всяко едно от тези лица. По-важните основни задължения на социалния педагог в тези домове са:</w:t>
      </w:r>
    </w:p>
    <w:p>
      <w:pPr>
        <w:pStyle w:val="Normal"/>
        <w:numPr>
          <w:ilvl w:val="0"/>
          <w:numId w:val="76"/>
        </w:numPr>
        <w:spacing w:lineRule="auto" w:line="240"/>
        <w:rPr/>
      </w:pPr>
      <w:r>
        <w:rPr/>
        <w:t>урежда всички въпроси с приемането и настаняването на такива лица в съответния дом;</w:t>
      </w:r>
    </w:p>
    <w:p>
      <w:pPr>
        <w:pStyle w:val="Normal"/>
        <w:numPr>
          <w:ilvl w:val="0"/>
          <w:numId w:val="76"/>
        </w:numPr>
        <w:spacing w:lineRule="auto" w:line="240"/>
        <w:rPr/>
      </w:pPr>
      <w:r>
        <w:rPr/>
        <w:t>участва в комисията при приемане на домуващите в дома; снема социална анамнеза;</w:t>
      </w:r>
    </w:p>
    <w:p>
      <w:pPr>
        <w:pStyle w:val="Normal"/>
        <w:numPr>
          <w:ilvl w:val="0"/>
          <w:numId w:val="76"/>
        </w:numPr>
        <w:spacing w:lineRule="auto" w:line="240"/>
        <w:rPr/>
      </w:pPr>
      <w:r>
        <w:rPr/>
        <w:t>води личните дела на настанените лица;</w:t>
      </w:r>
    </w:p>
    <w:p>
      <w:pPr>
        <w:pStyle w:val="Normal"/>
        <w:numPr>
          <w:ilvl w:val="0"/>
          <w:numId w:val="76"/>
        </w:numPr>
        <w:spacing w:lineRule="auto" w:line="240"/>
        <w:rPr/>
      </w:pPr>
      <w:r>
        <w:rPr/>
        <w:t>съхранява личните карти (паспортите) на лицата в дома;</w:t>
      </w:r>
    </w:p>
    <w:p>
      <w:pPr>
        <w:pStyle w:val="Normal"/>
        <w:numPr>
          <w:ilvl w:val="0"/>
          <w:numId w:val="76"/>
        </w:numPr>
        <w:spacing w:lineRule="auto" w:line="240"/>
        <w:rPr/>
      </w:pPr>
      <w:r>
        <w:rPr/>
        <w:t>урежда въпросите, свързани с пенсиите на тези лица;</w:t>
      </w:r>
    </w:p>
    <w:p>
      <w:pPr>
        <w:pStyle w:val="Normal"/>
        <w:numPr>
          <w:ilvl w:val="0"/>
          <w:numId w:val="76"/>
        </w:numPr>
        <w:spacing w:lineRule="auto" w:line="240"/>
        <w:rPr/>
      </w:pPr>
      <w:r>
        <w:rPr/>
        <w:t>организира цялостната дейност в областта на психофизичната и психосоциалната рехабилитация, както и културотерапията на домуващите;</w:t>
      </w:r>
    </w:p>
    <w:p>
      <w:pPr>
        <w:pStyle w:val="Normal"/>
        <w:numPr>
          <w:ilvl w:val="0"/>
          <w:numId w:val="76"/>
        </w:numPr>
        <w:spacing w:lineRule="auto" w:line="240"/>
        <w:rPr/>
      </w:pPr>
      <w:r>
        <w:rPr/>
        <w:t>съхранява досиетата на домуващите;</w:t>
      </w:r>
    </w:p>
    <w:p>
      <w:pPr>
        <w:pStyle w:val="Normal"/>
        <w:numPr>
          <w:ilvl w:val="0"/>
          <w:numId w:val="76"/>
        </w:numPr>
        <w:spacing w:lineRule="auto" w:line="240"/>
        <w:rPr/>
      </w:pPr>
      <w:r>
        <w:rPr/>
        <w:t>при смъртни случаи известява близките на живеещите в дома и урежда погребението на починалия;</w:t>
      </w:r>
    </w:p>
    <w:p>
      <w:pPr>
        <w:pStyle w:val="Normal"/>
        <w:numPr>
          <w:ilvl w:val="0"/>
          <w:numId w:val="76"/>
        </w:numPr>
        <w:spacing w:lineRule="auto" w:line="240"/>
        <w:rPr/>
      </w:pPr>
      <w:r>
        <w:rPr/>
        <w:t>осъществява връзка с Националния осигурителен институт, районното полицейско управление (паспортна служба), пощенсксите клонове по прехвърляне на пенсиите на домумащите и пр.;</w:t>
      </w:r>
    </w:p>
    <w:p>
      <w:pPr>
        <w:pStyle w:val="Normal"/>
        <w:numPr>
          <w:ilvl w:val="0"/>
          <w:numId w:val="76"/>
        </w:numPr>
        <w:spacing w:lineRule="auto" w:line="240"/>
        <w:rPr/>
      </w:pPr>
      <w:r>
        <w:rPr/>
        <w:t>урежда ТЕЛК комисии;</w:t>
      </w:r>
    </w:p>
    <w:p>
      <w:pPr>
        <w:pStyle w:val="Normal"/>
        <w:numPr>
          <w:ilvl w:val="0"/>
          <w:numId w:val="76"/>
        </w:numPr>
        <w:spacing w:lineRule="auto" w:line="240"/>
        <w:rPr/>
      </w:pPr>
      <w:r>
        <w:rPr/>
        <w:t>организира и води групи за самопомощ;</w:t>
      </w:r>
    </w:p>
    <w:p>
      <w:pPr>
        <w:pStyle w:val="Normal"/>
        <w:numPr>
          <w:ilvl w:val="0"/>
          <w:numId w:val="76"/>
        </w:numPr>
        <w:spacing w:lineRule="auto" w:line="240"/>
        <w:rPr/>
      </w:pPr>
      <w:r>
        <w:rPr/>
        <w:t>провежда индивидуални сесии (от 5 до 10) със всеки един новопостъпил в дома;</w:t>
      </w:r>
    </w:p>
    <w:p>
      <w:pPr>
        <w:pStyle w:val="Normal"/>
        <w:numPr>
          <w:ilvl w:val="0"/>
          <w:numId w:val="76"/>
        </w:numPr>
        <w:spacing w:lineRule="auto" w:line="240"/>
        <w:rPr/>
      </w:pPr>
      <w:r>
        <w:rPr/>
        <w:t>работи по проекти за подобряване качеството на услугите в ДСХ;</w:t>
      </w:r>
    </w:p>
    <w:p>
      <w:pPr>
        <w:pStyle w:val="Normal"/>
        <w:numPr>
          <w:ilvl w:val="0"/>
          <w:numId w:val="76"/>
        </w:numPr>
        <w:spacing w:lineRule="auto" w:line="240"/>
        <w:rPr/>
      </w:pPr>
      <w:r>
        <w:rPr/>
        <w:t xml:space="preserve">изпълнява различни други текущи задачи, възложени му от ръководството на дома. </w:t>
      </w:r>
    </w:p>
    <w:p>
      <w:pPr>
        <w:pStyle w:val="Normal"/>
        <w:numPr>
          <w:ilvl w:val="0"/>
          <w:numId w:val="76"/>
        </w:numPr>
        <w:spacing w:lineRule="auto" w:line="240"/>
        <w:rPr/>
      </w:pPr>
      <w:r>
        <w:rPr/>
        <w:t xml:space="preserve">осъществява одиторски контрол над дейността на обслужващия старите хора персонал. </w:t>
      </w:r>
    </w:p>
    <w:p>
      <w:pPr>
        <w:pStyle w:val="Normal"/>
        <w:spacing w:lineRule="auto" w:line="240"/>
        <w:rPr/>
      </w:pPr>
      <w:r>
        <w:rPr/>
        <w:t xml:space="preserve">      </w:t>
      </w:r>
      <w:r>
        <w:rPr/>
        <w:t xml:space="preserve">Социалният педагог отговаря изцяло за съхранението на оборудването на стаите на домуващите. По отношение на организационно-управленските си връзки и взаимоотношения в ежедневната си дейност той си взаимодейства с всички структурни звена в ДСХ – административни и стопански и с близки на домуващите. Той посредничи с институциите при уреждането на социалните проблеми на домуващите.  Социалният педагог отговаря за провеждането на различни културно-масови изяви: урежда различни вечеринки и чествания, организира изнасянето на лекции по интересуващи домуващите проблеми, посещения на концерти, изложби, забележителни места и пр. За да опознае интересите и потребностите на старите хора той провежда индивидуални разговори на различни теми с всеки един от тях, помага им да се адаптират към условията на живот в дома. Със своята компетентност той осигурява необходимия психичен климат и конфорт в дома, благоприятстващ за понижаване равнището на тревожност у старите хора, за разширяване на контактите помежду им, което от своя страна допринася за подобряване на здравословното им състояние. </w:t>
      </w:r>
    </w:p>
    <w:p>
      <w:pPr>
        <w:pStyle w:val="Normal"/>
        <w:spacing w:lineRule="auto" w:line="240"/>
        <w:rPr/>
      </w:pPr>
      <w:r>
        <w:rPr/>
        <w:t xml:space="preserve">      </w:t>
      </w:r>
      <w:r>
        <w:rPr/>
        <w:t xml:space="preserve">Трябва да се посочи, че съществува широк диапазон от възможности за съхраняване на здравето и активността на хората от третата възраст, които не ползват институционални услуги. В това отношение от изключително важно значение е дейността както на правителствените, така и на неправителствените организации и особено на социалните служби. Целта е не само да се запази колкото е възможно по-дълго време  здравето на тези хора, а и да им се осигури пълноценно според тяхните сили и възможности участие в обществения и трудовия живот, тъй като старостта не е болест, а естествено състояние на човешкия организъм. Напоследък се лансира идеята за реализиране на </w:t>
      </w:r>
      <w:r>
        <w:rPr>
          <w:b/>
        </w:rPr>
        <w:t xml:space="preserve">холистично-индивидуалния модел (подход). </w:t>
      </w:r>
      <w:r>
        <w:rPr/>
        <w:t xml:space="preserve">Този модел намира широко приложение в развитите страни и обхваща всички аспекти на социалното подпомагане и осигуряване на хората от третата възраст. Практиката показва, че в много сфери на социалното обслужване (информационни бюра, консултантски услуги, търговска мрежа и пр.) твърде често се предпочитат да бъдат назначавани на работа лица на пенсионна възраст, които имат не само богат жизнен опит, а и се отличават със своето учтиво и толерантно отношение към потребителите на тези услуги. Особено много се цени  трудът на интелектуалците-пенсионери, които се включват в най-разнообразни форми за образование и квалификация на учащите се и студентите. Разбира се, и хората с по-ниска степен на образование не са пренебрегнати. Техният труд намира широко приложение в материалното производство и домашното стопанство. Тези добри практики безспорно в условията на пазарната икономика ще намират все по-широко приложение и у нас, особено след присъединяването на България към Европейския съюз. </w:t>
      </w:r>
    </w:p>
    <w:p>
      <w:pPr>
        <w:pStyle w:val="Heading2"/>
        <w:rPr/>
      </w:pPr>
      <w:bookmarkStart w:id="38" w:name="__RefHeading___Toc89859699"/>
      <w:r>
        <w:rPr/>
        <w:t>9.4.  Ученето през целия живот – важен фактор за интеграцията на хората от третата възраст</w:t>
      </w:r>
      <w:bookmarkEnd w:id="38"/>
      <w:r>
        <w:rPr/>
        <w:t xml:space="preserve"> </w:t>
      </w:r>
    </w:p>
    <w:p>
      <w:pPr>
        <w:pStyle w:val="NormalText"/>
        <w:rPr/>
      </w:pPr>
      <w:r>
        <w:rPr/>
        <w:t xml:space="preserve">С настъпването на ХХІ век образованието заема все по-голямо място в човешкия живот. То става толкова разнообразно в своите задачи и форми, че включва всички дейности, които позволяват на хората от детството до старостта да придобиват нови познания за света, за другите хора и за себе си. Ярко се откроява тенденцията за превръщането му в полифункционален процес, който не е обвързан единствено с образователните системи. Все повече нарастват възможностите за обучение през целия живот, като акцентът постепенно се измества в посока от системата на перманентното образование към </w:t>
      </w:r>
      <w:r>
        <w:rPr>
          <w:b/>
        </w:rPr>
        <w:t>учене през целия живот</w:t>
      </w:r>
      <w:r>
        <w:rPr/>
        <w:t>. Новата образователна стратегия за “</w:t>
      </w:r>
      <w:r>
        <w:rPr>
          <w:b/>
        </w:rPr>
        <w:t>учещото се общество</w:t>
      </w:r>
      <w:r>
        <w:rPr/>
        <w:t xml:space="preserve">” се превръща в приоритетна за Европейската комисия по образованието, OECD и много други международни институции. През последните десетилетия в много развити европейски страни  е налице  стремеж  за обединяване в самостоятелна система на </w:t>
      </w:r>
      <w:r>
        <w:rPr>
          <w:b/>
        </w:rPr>
        <w:t>учреждения от</w:t>
      </w:r>
      <w:r>
        <w:rPr/>
        <w:t xml:space="preserve"> </w:t>
      </w:r>
      <w:r>
        <w:rPr>
          <w:b/>
        </w:rPr>
        <w:t>университетски тип</w:t>
      </w:r>
      <w:r>
        <w:rPr/>
        <w:t xml:space="preserve">, създадени специално за стари хора (т.нар. </w:t>
      </w:r>
      <w:r>
        <w:rPr>
          <w:b/>
        </w:rPr>
        <w:t>университети за</w:t>
      </w:r>
      <w:r>
        <w:rPr/>
        <w:t xml:space="preserve"> </w:t>
      </w:r>
      <w:r>
        <w:rPr>
          <w:b/>
        </w:rPr>
        <w:t>третата възраст</w:t>
      </w:r>
      <w:r>
        <w:rPr/>
        <w:t xml:space="preserve">), а също и </w:t>
      </w:r>
      <w:r>
        <w:rPr>
          <w:b/>
        </w:rPr>
        <w:t>различни форми и програми за образование на възрастни</w:t>
      </w:r>
      <w:r>
        <w:rPr/>
        <w:t xml:space="preserve"> (34, с. 122-131; 33, с. 102-108):</w:t>
      </w:r>
    </w:p>
    <w:p>
      <w:pPr>
        <w:pStyle w:val="NormalText"/>
        <w:rPr/>
      </w:pPr>
      <w:r>
        <w:rPr/>
        <w:t>“</w:t>
      </w:r>
      <w:r>
        <w:rPr/>
        <w:t>Тези структури са разнообразни, не престават да се разпростират, да следват бавната географска децентрализация, разширяване на традиционните и новаторските реализации.</w:t>
      </w:r>
    </w:p>
    <w:p>
      <w:pPr>
        <w:pStyle w:val="NormalText"/>
        <w:rPr/>
      </w:pPr>
      <w:r>
        <w:rPr/>
        <w:t xml:space="preserve">Отварянето на университетите за стари хора е новаторско предложение. Това не са обикновени учебни заведения с установените процедури за допускане (прием), организация, съдържанието на образованието, документалното утвърждаване с издаването на диплома за придобита квалификация. Университетите за третата възраст имат достатъчно широк набор от задачи, предназначени за поддържане на физическата, социалната и духовната активност на старите хора. Първият локален опит за организация на тази дейност е осъществен в 1973 г. в Тулуза (Франция), от П. </w:t>
      </w:r>
      <w:r>
        <w:rPr>
          <w:b/>
        </w:rPr>
        <w:t>Вел</w:t>
      </w:r>
      <w:r>
        <w:rPr/>
        <w:t xml:space="preserve"> с цел експериментална проверка на геронтологическите изследвания. Сега във Франция има много университети: Университети за третата възраст, университети на “свободното време”, “открити”, “за всички”, които са оборудвани с предавателни антени, разпростиращи се все повече и повече към градовете и по-малките селища, културните домове и колежите. Тези предаватели представляват нови модели на културни клубове в градовете, в които няма университети. Това начинание е имало значителен успех; поради което след 1-2 години възникват аналогични учреждения не само във Франция, но и в други страни. </w:t>
      </w:r>
    </w:p>
    <w:p>
      <w:pPr>
        <w:pStyle w:val="NormalText"/>
        <w:rPr/>
      </w:pPr>
      <w:r>
        <w:rPr/>
        <w:t xml:space="preserve">През 1974 г. е образувана  международна асоциация на университетите за стари хора. Тя обединява повече от 130 учреждения в Аржентина, Великобритания, Испания, Италия, Канада, Полша, САЩ, Франция, Швеция и Швейцария. Аналогична работа се води в Япония,  …Румъния, Китай, Гана, където съответстващите учреждения не са членове на това движение. Международната асоциация на университетите за третата възраст е получила официално признание в ООН, ЮНЕСКО, Европейския съвет и Европейския парламент. Тя има постоянно действащ секретариат (ръководещ център) в гр. Тулуза и информационно-изследователски център в Белгия. </w:t>
      </w:r>
    </w:p>
    <w:p>
      <w:pPr>
        <w:pStyle w:val="NormalText"/>
        <w:rPr/>
      </w:pPr>
      <w:r>
        <w:rPr/>
        <w:t xml:space="preserve">Специфичните особености на университетите за старите хора (третата възраст) в различните страни са обединени в сродни </w:t>
      </w:r>
      <w:r>
        <w:rPr>
          <w:b/>
          <w:i/>
        </w:rPr>
        <w:t>задачи</w:t>
      </w:r>
      <w:r>
        <w:rPr/>
        <w:t xml:space="preserve">, които решават. В частност те се отнасят към: осигуряване на умствено и физическо развитие на старите хора и смекчаване на протичането на процесите на стареене; стимулиране на социалните контакти както с техни връстници, така и с такива от други възрастови групи; демократизация на системата за образование по пътя на въвличане на тези групи,  които по-рано са били игнорирани; укрепване на самосъзнанието и собствената активност на старите; пробуждане към по-активно участие в живота и включване в различни видове и форми на обществено-полезна дейност на доброволна основа. Подходът към решаването на тези задачи в една или друга страна може да се различава по това, което касае съдържанието на дейността, формата на нейната организация, статуса й, управление и финансиране. </w:t>
      </w:r>
    </w:p>
    <w:p>
      <w:pPr>
        <w:pStyle w:val="Normal"/>
        <w:spacing w:lineRule="auto" w:line="240"/>
        <w:rPr/>
      </w:pPr>
      <w:r>
        <w:rPr/>
        <w:t xml:space="preserve">Във Франция Националната асоциация на университетите за третата възраст определя </w:t>
      </w:r>
      <w:r>
        <w:rPr>
          <w:b/>
          <w:i/>
        </w:rPr>
        <w:t>триединната си задача</w:t>
      </w:r>
      <w:r>
        <w:rPr/>
        <w:t xml:space="preserve"> като </w:t>
      </w:r>
      <w:r>
        <w:rPr>
          <w:i/>
        </w:rPr>
        <w:t>“</w:t>
      </w:r>
      <w:r>
        <w:rPr>
          <w:b/>
          <w:i/>
        </w:rPr>
        <w:t>обучение, продуктивна изследователска дейност и лично развитие.”</w:t>
      </w:r>
      <w:r>
        <w:rPr>
          <w:b/>
        </w:rPr>
        <w:t xml:space="preserve"> </w:t>
      </w:r>
    </w:p>
    <w:p>
      <w:pPr>
        <w:pStyle w:val="NormalText"/>
        <w:rPr/>
      </w:pPr>
      <w:r>
        <w:rPr/>
        <w:t xml:space="preserve">Френските университети за третата възраст (УТВ) като правило имат тесни връзки с държавните университети, използват тяхната материална база и преподаватели. На слушателите в университетите за третата възраст се предоставят широки възможности за избор на учебни курсове и видове дейност в съответствие с техните потребности и интереси... Най-разпространени </w:t>
      </w:r>
      <w:r>
        <w:rPr>
          <w:b/>
          <w:i/>
        </w:rPr>
        <w:t xml:space="preserve">форми на занятия са лекциите и екскурзиите. </w:t>
      </w:r>
      <w:r>
        <w:rPr/>
        <w:t xml:space="preserve">Някои слушатели се привличат към </w:t>
      </w:r>
      <w:r>
        <w:rPr>
          <w:b/>
          <w:i/>
        </w:rPr>
        <w:t>непосредствено участие в изследователските програми</w:t>
      </w:r>
      <w:r>
        <w:rPr/>
        <w:t xml:space="preserve"> на университета, други се подготвят за </w:t>
      </w:r>
      <w:r>
        <w:rPr>
          <w:b/>
          <w:i/>
        </w:rPr>
        <w:t>наблюдение и събиране на информация по стандартизирана методика</w:t>
      </w:r>
      <w:r>
        <w:rPr/>
        <w:t>, съставена от професионални изследователи. Този вид дейност формира съпричастност към посочената работа, допринася полза и стимулира познавателната активност.</w:t>
      </w:r>
    </w:p>
    <w:p>
      <w:pPr>
        <w:pStyle w:val="NormalText"/>
        <w:rPr/>
      </w:pPr>
      <w:r>
        <w:rPr/>
        <w:t>Формите и методите на работа, използвани във Франция, са разпространени в редица страни: Испания, Италия, САЩ  … и др.</w:t>
      </w:r>
    </w:p>
    <w:p>
      <w:pPr>
        <w:pStyle w:val="NormalText"/>
        <w:rPr/>
      </w:pPr>
      <w:r>
        <w:rPr/>
        <w:t xml:space="preserve">Друг подход към определяне на съдържанието и избора на форми на дейност в университетите на третата възраст са се наложили във Великобритания, САЩ, Канада, Белгия и Полша. Заедно със задачите за интелектуално и общокултурно развитие в тези страни голямо внимание се отделя на развитието на разнообразна самодейност на пенсионерите. Националният комитет на УТВ на Великобритания е разработил специално положение, което предвижда активно участие на слушателите в </w:t>
      </w:r>
      <w:r>
        <w:rPr>
          <w:b/>
          <w:i/>
        </w:rPr>
        <w:t>просветителската работа</w:t>
      </w:r>
      <w:r>
        <w:rPr/>
        <w:t xml:space="preserve"> сред различните слоеве на населението, оказване разнообразна помощ на по-немощните си връстници, </w:t>
      </w:r>
      <w:r>
        <w:rPr>
          <w:b/>
          <w:i/>
        </w:rPr>
        <w:t>спомагателна и</w:t>
      </w:r>
      <w:r>
        <w:rPr/>
        <w:t xml:space="preserve"> </w:t>
      </w:r>
      <w:r>
        <w:rPr>
          <w:b/>
          <w:i/>
        </w:rPr>
        <w:t>безвъзмездна трудова дейност</w:t>
      </w:r>
      <w:r>
        <w:rPr/>
        <w:t xml:space="preserve"> в различни учреждения на културата (музеи, библиотеки, картинни галерии и пр.).</w:t>
      </w:r>
    </w:p>
    <w:p>
      <w:pPr>
        <w:pStyle w:val="NormalText"/>
        <w:rPr/>
      </w:pPr>
      <w:r>
        <w:rPr/>
        <w:t xml:space="preserve">По отношение на </w:t>
      </w:r>
      <w:r>
        <w:rPr>
          <w:b/>
          <w:i/>
        </w:rPr>
        <w:t>формите на организация, управление и финансиране</w:t>
      </w:r>
      <w:r>
        <w:rPr/>
        <w:t xml:space="preserve"> на УТВ в различните страни съществува голямо многообразие. В Испания развитието на УТВ протича въз основа на съответен национален координационен план. Тази дейност се ръководи от Министерството на културата в сътрудничество с Министерството на образованието. Те разработват единни положения за УТВ и издават съответни предписания към местните органи. Разпространението на УТВ се осъществява в рамките на общата реформа на националната система за просвета на принципа на непрекъснатото образование. </w:t>
      </w:r>
    </w:p>
    <w:p>
      <w:pPr>
        <w:pStyle w:val="NormalText"/>
        <w:rPr/>
      </w:pPr>
      <w:r>
        <w:rPr/>
        <w:t xml:space="preserve">Примерът с Испания е нетипичен. Развитието на УТВ носи преимуществено </w:t>
      </w:r>
      <w:r>
        <w:rPr>
          <w:b/>
          <w:i/>
        </w:rPr>
        <w:t>децентрализиран характер</w:t>
      </w:r>
      <w:r>
        <w:rPr/>
        <w:t xml:space="preserve">. Това се отнася даже за тези страни (например Франция), където в системата на образованието има силни традиции на централизма. Понякога едно или няколко висши учебни заведения са учредители, а финансови спонсори често са местните органи на държавна власт и различни обществени организации, частни фондове и предприятия, занимаващи се с благотворителна цел…Някои УТВ са изградени като съвършени самоуправляващи се организации, получаващи средства и различни услуги от страна на различни организации, представляващи интересите на пенсионерите, в т.ч. и на бившите учители. Тези обществени организации също оказват помощ в дейността на УТВ. </w:t>
      </w:r>
    </w:p>
    <w:p>
      <w:pPr>
        <w:pStyle w:val="NormalText"/>
        <w:rPr/>
      </w:pPr>
      <w:r>
        <w:rPr/>
        <w:t>Във Великобритания идеята за самоуправление на УТВ получава най-голяма популярност. При този подход се счита за най-перспективна кооперативната форма на УТВ. В случая учебните заведения са напълно приспособени за реализация потребностите на старите хора като специфична група. Тези учреждения, създавани от самите пенсионери имат голяма гъвкавост на плана за формите, методите и съдържанието на дейността. Отчита се, че заплащането дори на незначителна част от обучението е обременителна. Така се обяснява стесняването обхвата на различните програми за образование през последните години. Това определя и предимството на кооперативните УТВ, които на безвъзмездна основа използват самите участници в качеството на преподаватели. Кооперираните УТВ имат своите привърженици и противници. Първите акцентират върху необходимостта определените за целите на образованието на пенсионерите средства да се предават на самите учебни заведения с оглед рационално самоуправление. Противниците – считат за неразумен отказа от мощния кадрови и материално-технически потенциал и опит, натрупан в системата на образованието на възрастни изобщо.</w:t>
      </w:r>
    </w:p>
    <w:p>
      <w:pPr>
        <w:pStyle w:val="NormalText"/>
        <w:rPr/>
      </w:pPr>
      <w:r>
        <w:rPr/>
        <w:t>Непрекъснато расте популярността на УТВ като форма за интеграция на пенсионерите в процеса на образованието. Но те са ефективни само при определени условия. Предполага се определено равнище на мотивираност на ученето, което на свой ред зависи от образованието и характера на предшестващата трудова дейност. Например във Франция 2/3 от слушателите в УТВ през 1984 г. са бивши преподаватели, предприемачи и управленци, повечето от които имат висше образование.</w:t>
      </w:r>
    </w:p>
    <w:p>
      <w:pPr>
        <w:pStyle w:val="Normal"/>
        <w:spacing w:lineRule="auto" w:line="240"/>
        <w:rPr/>
      </w:pPr>
      <w:r>
        <w:rPr/>
        <w:t xml:space="preserve">        </w:t>
      </w:r>
      <w:r>
        <w:rPr/>
        <w:t>Широки възможности се откриват пред пенсионерите в сферата на образованието за възрастни. Само че, в сегашния й вид тя недостатъчно отчита специфичните потребности и възможности на пенсионерите, защото повечето програми са ориентирани към работата на възрастното население. Пенсионерите не са свързани с работен график и затова имат повече време. От друга страна, на тях им е необходим адаптиран темп и методи на обучение, специфично съдържание на дейността, които да отчитат техните потребности и възможности.</w:t>
      </w:r>
    </w:p>
    <w:p>
      <w:pPr>
        <w:pStyle w:val="NormalText"/>
        <w:rPr/>
      </w:pPr>
      <w:r>
        <w:rPr/>
        <w:t>Решаването на проблемите за стимулиране и мотивация в зависимост от предшестващото образование и вида на трудовата дейност е важна предпоставка за въвличане на различни категории възрастни хора в сферата на образованието. Големи надежди се възлагат на широкото и ефективно прилагане на средствата за масова комуникация (радио, телевизия, видео и аудио-апаратура), които все повече се превръщат в битова апаратура. Чрез тях се приближава информацията към потребителя, което е особено важно за пенсионерите. Заедно с това съществува потенциална опасност от увличане по тези средства за обучение (те не съдействат за повишаване равнището на физическата и социалната активност на старите хора).</w:t>
      </w:r>
    </w:p>
    <w:p>
      <w:pPr>
        <w:pStyle w:val="NormalText"/>
        <w:rPr/>
      </w:pPr>
      <w:r>
        <w:rPr/>
        <w:t xml:space="preserve">Наред с университетите за третата възраст широко разпространение получиха и различни </w:t>
      </w:r>
      <w:r>
        <w:rPr>
          <w:b/>
          <w:i/>
        </w:rPr>
        <w:t>асоциации и движения</w:t>
      </w:r>
      <w:r>
        <w:rPr/>
        <w:t xml:space="preserve"> на пенсионери и стари хора. Движението за сдружаване получи разпространение сред старите хора, когато техният брой нарасна под формата на различни дружества. Във Франция се обособиха дружества на пенсионерите от предприятията, на ветераните от последните две войни, на бивши синдикалисти и движения за сдружаване на млади и стари (бивши съученици от училищата и колежите, спортни или професионални сдружения). Отскоро клубовете, асоциациите и федерациите на пенсионерите (в градове и села) разшириха обсега на сдружаване със създаването на  </w:t>
      </w:r>
      <w:r>
        <w:rPr>
          <w:b/>
          <w:i/>
        </w:rPr>
        <w:t>комитети на пенсионерите и</w:t>
      </w:r>
      <w:r>
        <w:rPr/>
        <w:t xml:space="preserve"> </w:t>
      </w:r>
      <w:r>
        <w:rPr>
          <w:b/>
          <w:i/>
        </w:rPr>
        <w:t>старите хора по департаменти</w:t>
      </w:r>
      <w:r>
        <w:rPr/>
        <w:t xml:space="preserve"> – окръзи (които се създадоха след комитетите по информация по окръзи) и на Националния  комитет на пенсионерите и старите хора. Тази форма на задружен живот води някои стари хора до съвместно разработване на образователен проект, до разделение на задачите и отговорностите в това отношение. Някои сдружения доразработват някой по-тесен проект, като с това целят собственото си благоденствие (материално, образователно, физическо) и полза на най-лишените от тяхната генерация, безработни, млади хора в затруднено положение, сакати. Заедно те се включват в дейността на общността си, искайки да останат изцяло граждани и творци в социалния живот. Сдруженията постепенно прерастват в образователна институция, място където заедно с Университетите и клубовете се изискват и се предлагат адаптирани образователни програми.</w:t>
      </w:r>
    </w:p>
    <w:p>
      <w:pPr>
        <w:pStyle w:val="Normal"/>
        <w:spacing w:lineRule="auto" w:line="240"/>
        <w:rPr/>
      </w:pPr>
      <w:r>
        <w:rPr/>
        <w:t xml:space="preserve">        </w:t>
      </w:r>
      <w:r>
        <w:rPr/>
        <w:t xml:space="preserve">След 1950 г. се появява нов модел сдружения във Франция, вече експериментиран в северните и англо-саксонските страни. Тези клубове за срещи са предоставени на пенсионерите от частни сдружения, общини, пенсионни каси. </w:t>
      </w:r>
      <w:r>
        <w:rPr>
          <w:b/>
        </w:rPr>
        <w:t>Клубът</w:t>
      </w:r>
      <w:r>
        <w:rPr/>
        <w:t xml:space="preserve"> от създаването му е привилегировано “социално и образователно” място, където пенсионерите се събират, за да намерят отново приятелство, солидарност, социален статус, сигурност в един свят, който им изглежда безразличен и враждебно настроен към тях. Съществуват различни модели клубове, отличаващи се по възрастта на членовете си, интересите им, социалния статус, равнището на култура, аспирациите на членовете, компетентността им. Тези клубове проникват сега и в старческите домове. </w:t>
      </w:r>
    </w:p>
    <w:p>
      <w:pPr>
        <w:pStyle w:val="NormalText"/>
        <w:rPr/>
      </w:pPr>
      <w:r>
        <w:rPr/>
        <w:t xml:space="preserve">Старите хора след като са получили помощ и подготовка от млади и възрастни преподаватели, дошли от вън, взимат в ръце все повече и повече ръководството и преподаването. Тази среда, много затворена първоначално, се отваря навън със своите възможности за приемане, за среща, за дейности. Сред новите проекти се развиват реализации, позволяващи да се получат нови знания или да се предават стари такива, да се създадат връзки между генерациите (с децата и младите), да се предлагат ателиета, към които проявяват интерес младите пенсионери, но също така всички, които разполагат със свободно време: домакини, безработни, сакати от всички възрасти. Изглежда, че в най-скоро време нови клубове ще се създадат със специфични дейности или групи дейности, интересуващи широк кръг от хора. Тези </w:t>
      </w:r>
      <w:r>
        <w:rPr>
          <w:b/>
        </w:rPr>
        <w:t xml:space="preserve">ателиета </w:t>
      </w:r>
      <w:r>
        <w:rPr/>
        <w:t xml:space="preserve"> могат да бъдат образователни, културни и спортни места, предлагащи в сградите си или извън тях дейности, отнасящи се до всички дисциплини, нови технологии и също всякакъв вид предложения по отношение на зависимите стари хора по домовете или старческите домове.</w:t>
      </w:r>
    </w:p>
    <w:p>
      <w:pPr>
        <w:pStyle w:val="NormalText"/>
        <w:rPr/>
      </w:pPr>
      <w:r>
        <w:rPr/>
        <w:t xml:space="preserve">До тук описаното е насочено предимно към тази страна на образователната дейност, която почти изцяло е насочена към значително остарели хора. Между другото има и такива направления и форми на работа,  които могат да съдействат за </w:t>
      </w:r>
      <w:r>
        <w:rPr>
          <w:b/>
          <w:i/>
        </w:rPr>
        <w:t>укрепване на взаимовръзката и взаиморазбирането на различни поколе</w:t>
      </w:r>
      <w:r>
        <w:rPr>
          <w:b/>
        </w:rPr>
        <w:t xml:space="preserve">ния хора. </w:t>
      </w:r>
      <w:r>
        <w:rPr/>
        <w:t xml:space="preserve">Добра илюстрация на тази дейност е обществото “Поколенията заедно” в САЩ. Създадено през 1978 г. от Дж. </w:t>
      </w:r>
      <w:r>
        <w:rPr>
          <w:b/>
        </w:rPr>
        <w:t xml:space="preserve">Осовски </w:t>
      </w:r>
      <w:r>
        <w:rPr/>
        <w:t xml:space="preserve">и Л. </w:t>
      </w:r>
      <w:r>
        <w:rPr>
          <w:b/>
        </w:rPr>
        <w:t>Линдеман</w:t>
      </w:r>
      <w:r>
        <w:rPr/>
        <w:t xml:space="preserve">, тази организация има хуманната цел за утвърждаване на атмосфера на милосърдие в обществото, взаиморазбиране и загриженост на младите и старите едни за други. Младежта влиза в ролята на организатор на обучението и помощник на възрастните хора. Ръководителите на курсовете и кръжоците, създадени към колежите и университетите като правило са млади преподаватели и студенти, специализиращи в области като педагогика, психология, социология, медицина, икономика, право, физическа култура и пр. Такъв широк избор (обхващащ 27 специалности) позволява удовлетворение на достатъчно разнообразни търсения на старите хора и да им се оказва разнообразна консултативна и практическа помощ. Организаторите на тези курсове поощряват неформалните контакти между млади и стари. </w:t>
      </w:r>
    </w:p>
    <w:p>
      <w:pPr>
        <w:pStyle w:val="Normal"/>
        <w:spacing w:lineRule="auto" w:line="240"/>
        <w:rPr/>
      </w:pPr>
      <w:r>
        <w:rPr/>
        <w:t xml:space="preserve">Особено място в обществото “Поколенията заедно” има привличането на пенсионери за работа с деца. Има се предвид и оказване на известна помощ в училище, и занятията с деца, страдащи от физически и умствени недъзи и други нетрадиционни направления на работа. Пенсионерите провеждат в училищата индивидуални и групови консултации, занимават се с изоставащите, ръководят кръжоци и водят факултативни занятия, оказват помощ на учителите в класната и извънкласната дейност. </w:t>
      </w:r>
    </w:p>
    <w:p>
      <w:pPr>
        <w:pStyle w:val="NormalText"/>
        <w:rPr/>
      </w:pPr>
      <w:r>
        <w:rPr/>
        <w:t xml:space="preserve">Дейността на обществото “Поколенията заедно” е насочена към формиране у децата на </w:t>
      </w:r>
      <w:r>
        <w:rPr>
          <w:b/>
          <w:i/>
        </w:rPr>
        <w:t>положително отношение към възрастните хора</w:t>
      </w:r>
      <w:r>
        <w:rPr/>
        <w:t>, разбиране на процеса на стареене, ролята и мястото на възрастните хора в обществото.</w:t>
      </w:r>
    </w:p>
    <w:p>
      <w:pPr>
        <w:pStyle w:val="NormalText"/>
        <w:rPr/>
      </w:pPr>
      <w:r>
        <w:rPr/>
        <w:t>Според мненията на ръководителите на обществото “Поколенията заедно” (а това са специалисти –геронтолози, психолози, педагози, социолози) взаимодопълващите се направления на дейността му способстват за решаване на редица актуални проблеми. Формират се доброжелателни отношения, взаиморазбиране между различните поколения. Старите хора реализират потребностите си от усещане и отдаване на своята полезност, развива се чувството за независимост и самоуважение. Налага се по-ефективно използване в полза на обществото на значителния интелектуален и нравствен потенциал, на професионалния и житейския опит на пенсионерите. Последните са живи носители на обществено-исторически опит, който също може и трябва да се предава в непосредствено общуване на различните поколения. Негативните последици от намаляване на възпитателната роля на семейството изискват търсене на резерви за компенсационно въздействие. По-тясното общуване с възрастните е плодотворно, тъй като младите получават цялостно виждане на своя жизнен път и процеса на смяна на жизнените роли.</w:t>
      </w:r>
    </w:p>
    <w:p>
      <w:pPr>
        <w:pStyle w:val="NormalText"/>
        <w:rPr/>
      </w:pPr>
      <w:r>
        <w:rPr/>
        <w:t xml:space="preserve">От десетина години ситуацията непрекъснато се видоизменя поради удължаване на живота, но също и поради факта, че хората се пенсионират все по-рано. И това в момент, в който нуждите и желанието за учене станаха реалност във всички общества, както при икономически активните, така и при пенсионерите. Така се родиха и развиха нови институции за пенсионери, някои от които са отворени и за други категории от населението. Това е един нов феномен, непознат за досегашните общества и който без съмнение вече не е спонтанен, а придобива изключително оригинални форми, надхвърлящи формите на традиционното образование. Това ще позволи придобиването на известен брой стереотипи, включително отпадането на мнението за невъзможността за учене от известна възраст нататък, допринасяйки по този начин за по-хармонични взаимоотношения между млади и стари. Това доказа също важността на интелектуалната, физическата, двигателната и т.н. практика  за всички възрасти от човешкия живот и включително периода на пенсионната възраст, което позволява едно сполучливо стареене. Така малко по-малко в отделните страни се изградиха </w:t>
      </w:r>
      <w:r>
        <w:rPr>
          <w:b/>
          <w:i/>
        </w:rPr>
        <w:t>системи на</w:t>
      </w:r>
      <w:r>
        <w:rPr/>
        <w:t xml:space="preserve"> </w:t>
      </w:r>
      <w:r>
        <w:rPr>
          <w:b/>
          <w:i/>
        </w:rPr>
        <w:t>непрекъснато образование</w:t>
      </w:r>
      <w:r>
        <w:rPr/>
        <w:t xml:space="preserve"> с много разнообразни форми, което ги отличава от традиционното и професионалното обучение, тъй като става въпрос за образователни и културни практики напълно “дезинтересирани”, т.е. откъснати от производството и директно свързани  с желанието за “получаване на знания”. Все повече пенсионери без да знаят или искат поставиха въпроса за същността на образованието в индустриалните общества, тъй като то няма само за крайна цел определена работа, и тъй като то не е вече ограничено във времето.  Така се появяват отново форми, някои от които много стари, за това как да се учи, основаващи се взаимообучение и колективно “самообучение”. Наред с традиционните курсове се създадоха “самоуправляващи се” групи и “образователни общности”, които обединяват икономически активни и пенсионери, които изучават заедно един въпрос или свободно избрана дисциплина.</w:t>
      </w:r>
    </w:p>
    <w:p>
      <w:pPr>
        <w:pStyle w:val="NormalText"/>
        <w:rPr/>
      </w:pPr>
      <w:r>
        <w:rPr/>
        <w:t xml:space="preserve">От всичко това произтича необходимостта от изучаване на проблемите на: стимулирането и мотивацията във взаимовръзка с процеса на стареене, ръста на индивидуалната и социалната зависимост от тяхното образование, жизнен опит и предшестваща професионална дейност, материално осигуряване и др.; определяне влиянието на тези фактори върху избора на съдържанието, формите, методите и сроковете на дейност,  в която се въвличат пенсионерите; изява на отношение на различните категории стари хора към съответните традиционни и нови форми и структури в сферата на образованието; оценка на тяхната гъвкавост, демократичност; ефективност от гледна точка на обществените потребности и влияние върху качеството на живота на пенсионерите. От голямо значение е и проблемът за осигуряване на новата система с кадрови, материални и финансови ресурси. </w:t>
      </w:r>
    </w:p>
    <w:p>
      <w:pPr>
        <w:pStyle w:val="NormalText"/>
        <w:rPr/>
      </w:pPr>
      <w:r>
        <w:rPr/>
        <w:t xml:space="preserve">Описаните тенденции и факти тясно се преплитат с по-общите въпроси от стратегията на развитието на </w:t>
      </w:r>
      <w:r>
        <w:rPr>
          <w:b/>
          <w:i/>
        </w:rPr>
        <w:t>съвременното образование като цяло и демократизацията на обществото</w:t>
      </w:r>
      <w:r>
        <w:rPr>
          <w:b/>
        </w:rPr>
        <w:t xml:space="preserve">. </w:t>
      </w:r>
      <w:r>
        <w:rPr/>
        <w:t xml:space="preserve">Активното включване на старото поколение в орбитата на обществено-държавната образователна политика се извлича от </w:t>
      </w:r>
      <w:r>
        <w:rPr>
          <w:b/>
          <w:i/>
        </w:rPr>
        <w:t>концепцията за непрекъснатото образование</w:t>
      </w:r>
      <w:r>
        <w:rPr/>
        <w:t xml:space="preserve">, приета в повечето страни в света и международни организации. Ориентацията към въвличане на лица от старшата възраст в сферата на социално-културната политика налага необходимостта от признаване на тази група население на определени </w:t>
      </w:r>
      <w:r>
        <w:rPr>
          <w:b/>
          <w:i/>
        </w:rPr>
        <w:t>права</w:t>
      </w:r>
      <w:r>
        <w:rPr>
          <w:b/>
        </w:rPr>
        <w:t>:</w:t>
      </w:r>
      <w:r>
        <w:rPr/>
        <w:t xml:space="preserve"> на дял от бюджета за образование, на собствени образователни учреждения, съответстващи на потребностите и възможностите на старите хора, признание на интелектуалните им и културни ценности.</w:t>
      </w:r>
    </w:p>
    <w:p>
      <w:pPr>
        <w:pStyle w:val="Normal"/>
        <w:spacing w:lineRule="auto" w:line="240"/>
        <w:rPr/>
      </w:pPr>
      <w:r>
        <w:rPr/>
        <w:t xml:space="preserve">        </w:t>
      </w:r>
      <w:r>
        <w:rPr/>
        <w:t xml:space="preserve">В съответствие с нарастването на образователното равнище на населението, лицата на 50-60 години остават най-образованата социална група. Образователните възможности от икономическа, юридическа и социално-политическа гледна точка за сегашните младежи са несравнимо по-широки от тези преди 30-50 години. Фундаментът на тези възможности се намира в труда на сегашните 50-60 годишни хора. </w:t>
      </w:r>
    </w:p>
    <w:p>
      <w:pPr>
        <w:pStyle w:val="Normal"/>
        <w:spacing w:lineRule="auto" w:line="240"/>
        <w:rPr/>
      </w:pPr>
      <w:r>
        <w:rPr/>
        <w:t xml:space="preserve">        </w:t>
      </w:r>
      <w:r>
        <w:rPr/>
        <w:t xml:space="preserve">Сега нравствен и икономически дълг на обществото е създаването на адекватни материали, организационни и юридически възможности за творческа активност и личен растеж на старите хора. </w:t>
      </w:r>
    </w:p>
    <w:p>
      <w:pPr>
        <w:pStyle w:val="Normal"/>
        <w:spacing w:lineRule="auto" w:line="240"/>
        <w:rPr/>
      </w:pPr>
      <w:r>
        <w:rPr/>
        <w:t xml:space="preserve">        </w:t>
      </w:r>
      <w:r>
        <w:rPr/>
        <w:t xml:space="preserve">От направения обзор и обобщения на състоянието на проблема за образованието на старите хора могат да се направят следните </w:t>
      </w:r>
      <w:r>
        <w:rPr>
          <w:b/>
        </w:rPr>
        <w:t>предложения:</w:t>
      </w:r>
    </w:p>
    <w:p>
      <w:pPr>
        <w:pStyle w:val="Normal"/>
        <w:numPr>
          <w:ilvl w:val="0"/>
          <w:numId w:val="74"/>
        </w:numPr>
        <w:spacing w:lineRule="auto" w:line="240"/>
        <w:rPr/>
      </w:pPr>
      <w:r>
        <w:rPr/>
        <w:t>всяка страна за определи свой собствен глобален образователен проект, отговарящ на процеса на стареене на населението й и на съответните си културни традиции</w:t>
      </w:r>
    </w:p>
    <w:p>
      <w:pPr>
        <w:pStyle w:val="Normal"/>
        <w:numPr>
          <w:ilvl w:val="0"/>
          <w:numId w:val="74"/>
        </w:numPr>
        <w:spacing w:lineRule="auto" w:line="240"/>
        <w:rPr/>
      </w:pPr>
      <w:r>
        <w:rPr/>
        <w:t>необходимо е осмисляне на процеса на стареене и неговата динамика на протежение на цялото образование и поддържане на непрекъснатост на образованието при активните възрастни и старите хора;</w:t>
      </w:r>
    </w:p>
    <w:p>
      <w:pPr>
        <w:pStyle w:val="Normal"/>
        <w:numPr>
          <w:ilvl w:val="0"/>
          <w:numId w:val="74"/>
        </w:numPr>
        <w:spacing w:lineRule="auto" w:line="240"/>
        <w:rPr/>
      </w:pPr>
      <w:r>
        <w:rPr/>
        <w:t>регионализиране и децентрализиране на образователните и културните дейности, за да се даде отново живот на старите регионални култури;</w:t>
      </w:r>
    </w:p>
    <w:p>
      <w:pPr>
        <w:pStyle w:val="Normal"/>
        <w:numPr>
          <w:ilvl w:val="0"/>
          <w:numId w:val="74"/>
        </w:numPr>
        <w:spacing w:lineRule="auto" w:line="240"/>
        <w:rPr/>
      </w:pPr>
      <w:r>
        <w:rPr/>
        <w:t>улесняване достъпа до културните ценности;</w:t>
      </w:r>
    </w:p>
    <w:p>
      <w:pPr>
        <w:pStyle w:val="Normal"/>
        <w:numPr>
          <w:ilvl w:val="0"/>
          <w:numId w:val="74"/>
        </w:numPr>
        <w:spacing w:lineRule="auto" w:line="240"/>
        <w:rPr/>
      </w:pPr>
      <w:r>
        <w:rPr/>
        <w:t>да се подпомогне разкриването към  университетите на “служби за услуги по приемане” за нетрадиционно обучавани (т.е. над 30-35 год. възраст) с цел да се помогне на възрастните обучавани да избират курсове, отговарящи на техните вкусове и желания;</w:t>
      </w:r>
    </w:p>
    <w:p>
      <w:pPr>
        <w:pStyle w:val="Normal"/>
        <w:numPr>
          <w:ilvl w:val="0"/>
          <w:numId w:val="74"/>
        </w:numPr>
        <w:spacing w:lineRule="auto" w:line="240"/>
        <w:rPr/>
      </w:pPr>
      <w:r>
        <w:rPr/>
        <w:t>умножаване и разнообразяване на образователните институции. Към клубовете, сдруженията, офисите за стари хора трябва да се добавят структури като социални центрове, училища по майчинство, или начални. Това ще позволи да се обхванат различни категории хора, всеки път със специални образователни методи и подходящо образование;</w:t>
      </w:r>
    </w:p>
    <w:p>
      <w:pPr>
        <w:pStyle w:val="Normal"/>
        <w:numPr>
          <w:ilvl w:val="0"/>
          <w:numId w:val="74"/>
        </w:numPr>
        <w:spacing w:lineRule="auto" w:line="240"/>
        <w:rPr/>
      </w:pPr>
      <w:r>
        <w:rPr/>
        <w:t>използване на “Комитетите по домовете” и “Съветите”, предвидени във всяко населено място за колективен приют за оказване на образователна и културна помощ по отношение на зависимите стари хора;</w:t>
      </w:r>
    </w:p>
    <w:p>
      <w:pPr>
        <w:pStyle w:val="Normal"/>
        <w:numPr>
          <w:ilvl w:val="0"/>
          <w:numId w:val="74"/>
        </w:numPr>
        <w:spacing w:lineRule="auto" w:line="240"/>
        <w:rPr/>
      </w:pPr>
      <w:r>
        <w:rPr/>
        <w:t>създаване на банка данни с цел информиране чрез технически фишове (например възрастните независимо от възрастта им) върху законодателството, сдруженията и т.н., както и да се запознаят с пилотните проучвания в областта на образованието и културните дейности на пенсионерите;</w:t>
      </w:r>
    </w:p>
    <w:p>
      <w:pPr>
        <w:pStyle w:val="Normal"/>
        <w:numPr>
          <w:ilvl w:val="0"/>
          <w:numId w:val="74"/>
        </w:numPr>
        <w:spacing w:lineRule="auto" w:line="240"/>
        <w:rPr/>
      </w:pPr>
      <w:r>
        <w:rPr/>
        <w:t xml:space="preserve">да се превърнат средствата за масова информация в по-действени по отношение на тяхната образователна и културна мисия. Независимо от това дали става въпрос за специфични за пенсионерите и старите хора предавания или за неспецифични, необходимо е информациите да бъдат по-добре адаптирани и разпространявани (големина на надписите, технически термини и т.н.).”  </w:t>
      </w:r>
    </w:p>
    <w:p>
      <w:pPr>
        <w:pStyle w:val="Normal"/>
        <w:spacing w:lineRule="auto" w:line="240"/>
        <w:ind w:left="360" w:hanging="0"/>
        <w:rPr/>
      </w:pPr>
      <w:r>
        <w:rPr/>
        <w:t xml:space="preserve">  </w:t>
      </w:r>
      <w:r>
        <w:rPr/>
        <w:t xml:space="preserve">Американската авторка Гейл </w:t>
      </w:r>
      <w:r>
        <w:rPr>
          <w:b/>
        </w:rPr>
        <w:t>Шийхи</w:t>
      </w:r>
      <w:r>
        <w:rPr/>
        <w:t xml:space="preserve"> обосновава необходимостта от създаване на кръжок “Подготовка на Мъдри жени (ПМЖ). “Той функционира най-добре, ако не е по-голям от осем до дванайсет души. Не бива да бъде съставен от един и същ познат кръг от приятелки или колежки по професия и да се ръководи от нормалния тон на ежедневните разговори. Всяка от учредителките може да покани една или две стимулиращи личности, които са показали творчески подход към живота във Втората зрелост. Сетне  си набележете някои централни фигури, които не познавате, но бихте искали да познавате, и намерете някой от вашето обкръжение, който би могъл да се свърже с тях, така че сбирката да предложи на всекиго по нещо ново. Формата може да бъде всякаква – от късна закуска до вечеря или уикенд на село. Полезно е преди началото на дискусията да се раздадат листове с набелязани проблеми, както и да се зададат няколко ключови въпроса: </w:t>
      </w:r>
    </w:p>
    <w:p>
      <w:pPr>
        <w:pStyle w:val="Normal"/>
        <w:numPr>
          <w:ilvl w:val="0"/>
          <w:numId w:val="16"/>
        </w:numPr>
        <w:spacing w:lineRule="auto" w:line="240"/>
        <w:rPr/>
      </w:pPr>
      <w:r>
        <w:rPr/>
        <w:t>В момента какви нови начинания или приключения сте в състояние да предприемете?</w:t>
      </w:r>
    </w:p>
    <w:p>
      <w:pPr>
        <w:pStyle w:val="Normal"/>
        <w:numPr>
          <w:ilvl w:val="0"/>
          <w:numId w:val="16"/>
        </w:numPr>
        <w:spacing w:lineRule="auto" w:line="240"/>
        <w:rPr>
          <w:rFonts w:ascii="Arial" w:hAnsi="Arial" w:cs="Arial"/>
          <w:b/>
          <w:b/>
        </w:rPr>
      </w:pPr>
      <w:r>
        <w:rPr/>
        <w:t xml:space="preserve">Какви стари обвивки можете да смъкнете от себе си? </w:t>
      </w:r>
    </w:p>
    <w:p>
      <w:pPr>
        <w:pStyle w:val="Normal"/>
        <w:numPr>
          <w:ilvl w:val="0"/>
          <w:numId w:val="16"/>
        </w:numPr>
        <w:spacing w:lineRule="auto" w:line="240"/>
        <w:rPr>
          <w:rFonts w:ascii="Arial" w:hAnsi="Arial" w:cs="Arial"/>
          <w:b/>
          <w:b/>
        </w:rPr>
      </w:pPr>
      <w:r>
        <w:rPr/>
        <w:t>Кой е най-добрият ви начин за възстановяване?</w:t>
      </w:r>
    </w:p>
    <w:p>
      <w:pPr>
        <w:pStyle w:val="Normal"/>
        <w:numPr>
          <w:ilvl w:val="0"/>
          <w:numId w:val="16"/>
        </w:numPr>
        <w:spacing w:lineRule="auto" w:line="240"/>
        <w:rPr>
          <w:rFonts w:ascii="Arial" w:hAnsi="Arial" w:cs="Arial"/>
          <w:b/>
          <w:b/>
        </w:rPr>
      </w:pPr>
      <w:r>
        <w:rPr/>
        <w:t>Какви вложения в учене или промени в начина на живот сте склонни да направите, за да превърнете в годни за съществуване всички допълнителни години, които ви предстоят?</w:t>
      </w:r>
    </w:p>
    <w:p>
      <w:pPr>
        <w:pStyle w:val="Normal"/>
        <w:numPr>
          <w:ilvl w:val="0"/>
          <w:numId w:val="16"/>
        </w:numPr>
        <w:spacing w:lineRule="auto" w:line="240"/>
        <w:rPr>
          <w:rFonts w:ascii="Arial" w:hAnsi="Arial" w:cs="Arial"/>
          <w:b/>
          <w:b/>
        </w:rPr>
      </w:pPr>
      <w:r>
        <w:rPr/>
        <w:t xml:space="preserve">Колко дълго </w:t>
      </w:r>
      <w:r>
        <w:rPr>
          <w:b/>
          <w:i/>
        </w:rPr>
        <w:t>искате</w:t>
      </w:r>
      <w:r>
        <w:rPr>
          <w:i/>
        </w:rPr>
        <w:t xml:space="preserve"> </w:t>
      </w:r>
      <w:r>
        <w:rPr/>
        <w:t>да живеете?</w:t>
      </w:r>
    </w:p>
    <w:p>
      <w:pPr>
        <w:pStyle w:val="Normal"/>
        <w:spacing w:lineRule="auto" w:line="240"/>
        <w:ind w:left="720" w:hanging="0"/>
        <w:rPr/>
      </w:pPr>
      <w:r>
        <w:rPr/>
        <w:t>Също като първите заселници, събирайки се в ПМЖ групи, вие естествено нареждате в кръг каруците, за да си осигурите защита, както го описва д-р Макграт: “После, в очертанията на безопасния кръг, вие сядате около лагерния огън и си разказвате истории, от които всеки би могъл да почерпи знание”.</w:t>
      </w:r>
    </w:p>
    <w:p>
      <w:pPr>
        <w:pStyle w:val="NormalText"/>
        <w:rPr/>
      </w:pPr>
      <w:r>
        <w:rPr/>
        <w:t xml:space="preserve">В бъдеще, ако жените поставят началото на ПМЖ групи в собственото си обкръжение, те биха могли да се свържат в една национална или дори интернационална мрежа от ПМЖ групи. Когато някогашните Мъдри жени се събирали край мегалитните кръгове в Ирландия и Англия, споделяйки лечебни тайни и черпейки енергия от електроактивния кристал в камъните, те не са имали средства за комуникация с хилядите други подобни кръгове. Ние, жителите на съвременния свят, имаме телевизия и Интернет. Онези от нас, които имат силно желание да бъдат подготвени за Мъдри жени, едва са започнали да извличат мъдростта на онези, които са достатъчно възрастни, за да могат да разберат живота отзад напред”(62, с.616 и сл.). </w:t>
      </w:r>
    </w:p>
    <w:p>
      <w:pPr>
        <w:pStyle w:val="NormalText"/>
        <w:rPr>
          <w:lang w:val="en-US"/>
        </w:rPr>
      </w:pPr>
      <w:r>
        <w:rPr/>
        <w:t xml:space="preserve">Широкото приложение на най-разнообразни програми и  форми за социализация на хората в напреднала и старческа възраст  е една от най-важните предпоставки за успешната им адаптация към динамично променящите се  условия, за усвояване от тях на новите социални роли, за  реализиране на рационален начин на живот и поведение. </w:t>
      </w:r>
    </w:p>
    <w:p>
      <w:pPr>
        <w:pStyle w:val="TableHeading2"/>
        <w:rPr>
          <w:b w:val="false"/>
          <w:b w:val="false"/>
          <w:lang w:val="en-US"/>
        </w:rPr>
      </w:pPr>
      <w:r>
        <w:rPr>
          <w:b w:val="false"/>
          <w:lang w:val="en-US"/>
        </w:rPr>
      </w:r>
    </w:p>
    <w:p>
      <w:pPr>
        <w:pStyle w:val="Heading2"/>
        <w:rPr/>
      </w:pPr>
      <w:r>
        <w:rPr/>
        <w:t xml:space="preserve">9.5.  </w:t>
      </w:r>
      <w:r>
        <w:rPr>
          <w:lang w:val="bg-BG"/>
        </w:rPr>
        <w:t>Социално-герагогически грижи за лица с деменция</w:t>
      </w:r>
    </w:p>
    <w:p>
      <w:pPr>
        <w:pStyle w:val="NormalText"/>
        <w:rPr>
          <w:lang w:val="bg-BG"/>
        </w:rPr>
      </w:pPr>
      <w:r>
        <w:rPr>
          <w:lang w:val="bg-BG"/>
        </w:rPr>
      </w:r>
    </w:p>
    <w:p>
      <w:pPr>
        <w:pStyle w:val="NormalText"/>
        <w:rPr/>
      </w:pPr>
      <w:r>
        <w:rPr>
          <w:b/>
          <w:i/>
        </w:rPr>
        <w:t>Деменцията</w:t>
      </w:r>
      <w:r>
        <w:rPr/>
        <w:t xml:space="preserve"> (старческото слабоумие; оглупяване) с основание се смята за една от типичните болести на  третата възраст (вж.по-подробно 30). Причините за това заболяване и досега не са установени. Понастоящем се разграничават множество видове деменции. Те могат да бъдат дефинирани най-общо като:</w:t>
      </w:r>
    </w:p>
    <w:p>
      <w:pPr>
        <w:pStyle w:val="NormalText"/>
        <w:numPr>
          <w:ilvl w:val="0"/>
          <w:numId w:val="16"/>
        </w:numPr>
        <w:rPr/>
      </w:pPr>
      <w:r>
        <w:rPr/>
        <w:t>група на дегенеративните деменции, които са най-чести. Болестта на Алхаймер представлява 60-70% от тях;</w:t>
      </w:r>
    </w:p>
    <w:p>
      <w:pPr>
        <w:pStyle w:val="NormalText"/>
        <w:numPr>
          <w:ilvl w:val="0"/>
          <w:numId w:val="16"/>
        </w:numPr>
        <w:rPr>
          <w:lang w:val="en-US"/>
        </w:rPr>
      </w:pPr>
      <w:r>
        <w:rPr/>
        <w:t>група на недегеративните деменции, които са доминирани от съдовите деменции, представляващи основната част (30-40%) от този вид деменции;</w:t>
      </w:r>
    </w:p>
    <w:p>
      <w:pPr>
        <w:pStyle w:val="NormalText"/>
        <w:numPr>
          <w:ilvl w:val="0"/>
          <w:numId w:val="16"/>
        </w:numPr>
        <w:rPr>
          <w:lang w:val="en-US"/>
        </w:rPr>
      </w:pPr>
      <w:r>
        <w:rPr/>
        <w:t>група на смесените деменции, асоцииращи дегенеративни и съдови увреждания на човешкия мозък.</w:t>
      </w:r>
    </w:p>
    <w:p>
      <w:pPr>
        <w:pStyle w:val="NormalText"/>
        <w:rPr>
          <w:lang w:val="en-US"/>
        </w:rPr>
      </w:pPr>
      <w:r>
        <w:rPr>
          <w:lang w:val="en-US"/>
        </w:rPr>
        <w:t xml:space="preserve">Болестта на Алхаймер напоследък се превърна в световен социален и здравен проблем. Понастоящем тя се нарежда сред основните проблемни заболявания на нашето време: СПИН, онкологични заболявания и токсикомании, тъй като те си приличат в много отношения. За лицата с деменция тип Алцхаймер няма ефективно лечение или превенция, а социалните проблеми са огромни, тъй  като броят на болните с деменции прогресивно расте с възрастта. </w:t>
      </w:r>
    </w:p>
    <w:p>
      <w:pPr>
        <w:pStyle w:val="NormalText"/>
        <w:rPr/>
      </w:pPr>
      <w:r>
        <w:rPr>
          <w:lang w:val="en-US"/>
        </w:rPr>
        <w:t>Както е известно, болестта наАлцхаймер е описана преди един век от немския лекар Alois Alzheimer</w:t>
      </w:r>
      <w:r>
        <w:rPr>
          <w:b/>
        </w:rPr>
        <w:t xml:space="preserve"> </w:t>
      </w:r>
      <w:r>
        <w:rPr/>
        <w:t xml:space="preserve">(1907 г.). Дълго време на това заболяване не се е обръщало почти никакво внимание, защото е считано като неизбежно зло, свързано с настъпването на старостта. През 80-те години на ХХ век започнаха по-задълбочени проучвания и беше установено мястото на заболяването сред другите видове деменции. Отначало с термина “Болест на Алцхаймер” се дефинира деменцията, настъпваща преди 60-годишна възраст (т.нар. пресенилна деменция). Впоследствие се установява, че при възрастни дементно болни може да има мозъчни увреждания, идентични с тези  на лицата с болестта на Алхаймер. Това довежда до разширяване на този термин и понастоящем “деменция тип Алцхаймер” обхваща пресенилната и сенилната демеция. </w:t>
      </w:r>
    </w:p>
    <w:p>
      <w:pPr>
        <w:pStyle w:val="NormalText"/>
        <w:rPr/>
      </w:pPr>
      <w:r>
        <w:rPr/>
        <w:t>Болестта на Алцхаймер е невродегенеративно заболяване на централната нервна система с трайно и прогресивно нарушение на когнитивните функции и специфични невропатологични поражения. Всеки болен има засягане не само на мозъка, а също и на личността и поведението му, тъй като с напредване на болестта, болният се “откъсва” от реалия свят и започва да живее не като нормален човек. Болестта засяга не само лица в напреднала или старческа възраст, а  и по-млади хора (под 60- годишна възраст). Тя започва бавно и протича прогресивно. Клиничната й симпоматика се хаактеризира с нарушение на когнитивните функции (на паметта, говора, екзекутивните функции, разпознаването на обектите и пр.), настъпване на депресия, дезорганизация на поведението и личността. Еволюцията на това заболяване има три фази:</w:t>
      </w:r>
    </w:p>
    <w:p>
      <w:pPr>
        <w:pStyle w:val="NormalText"/>
        <w:numPr>
          <w:ilvl w:val="0"/>
          <w:numId w:val="71"/>
        </w:numPr>
        <w:rPr/>
      </w:pPr>
      <w:r>
        <w:rPr>
          <w:b/>
          <w:i/>
        </w:rPr>
        <w:t>предклинична фаза</w:t>
      </w:r>
      <w:r>
        <w:rPr/>
        <w:t>. Тя продължава няколко години, по време на които болестта съществува, но когнитивните функции все още не са увредени манифестно;</w:t>
      </w:r>
    </w:p>
    <w:p>
      <w:pPr>
        <w:pStyle w:val="NormalText"/>
        <w:numPr>
          <w:ilvl w:val="0"/>
          <w:numId w:val="71"/>
        </w:numPr>
        <w:rPr/>
      </w:pPr>
      <w:r>
        <w:rPr>
          <w:b/>
          <w:i/>
        </w:rPr>
        <w:t>преддементна фаза</w:t>
      </w:r>
      <w:r>
        <w:rPr/>
        <w:t>. Когнитивните функции са нарушени, но все още не смущават по ярко изразен начин живота на заболелия;</w:t>
      </w:r>
    </w:p>
    <w:p>
      <w:pPr>
        <w:pStyle w:val="NormalText"/>
        <w:numPr>
          <w:ilvl w:val="0"/>
          <w:numId w:val="71"/>
        </w:numPr>
        <w:rPr/>
      </w:pPr>
      <w:r>
        <w:rPr>
          <w:b/>
          <w:i/>
        </w:rPr>
        <w:t>дементна фаза</w:t>
      </w:r>
      <w:r>
        <w:rPr/>
        <w:t>. Деменцията е изявена и прогресира, което довежда до загуба на автономността на болния.</w:t>
      </w:r>
    </w:p>
    <w:p>
      <w:pPr>
        <w:pStyle w:val="NormalText"/>
        <w:ind w:hanging="0"/>
        <w:rPr/>
      </w:pPr>
      <w:r>
        <w:rPr/>
        <w:t xml:space="preserve">        </w:t>
      </w:r>
      <w:r>
        <w:rPr/>
        <w:t xml:space="preserve">В страните от Европейския съюз, в САЩ и  много други държави социалната политика спрямо лицата с деменции, включително болните с деменция тип Алцхаймер, включва: </w:t>
      </w:r>
    </w:p>
    <w:p>
      <w:pPr>
        <w:pStyle w:val="NormalText"/>
        <w:numPr>
          <w:ilvl w:val="0"/>
          <w:numId w:val="16"/>
        </w:numPr>
        <w:rPr/>
      </w:pPr>
      <w:r>
        <w:rPr/>
        <w:t>настаняване на болните с деменции в колективни структури (социални и здравни според необходимостта от това);</w:t>
      </w:r>
    </w:p>
    <w:p>
      <w:pPr>
        <w:pStyle w:val="NormalText"/>
        <w:numPr>
          <w:ilvl w:val="0"/>
          <w:numId w:val="16"/>
        </w:numPr>
        <w:rPr/>
      </w:pPr>
      <w:r>
        <w:rPr/>
        <w:t xml:space="preserve">грижи за болните с деменция по домовете им и грижи и помощи за семействата им. </w:t>
      </w:r>
    </w:p>
    <w:p>
      <w:pPr>
        <w:pStyle w:val="NormalText"/>
        <w:rPr/>
      </w:pPr>
      <w:r>
        <w:rPr/>
        <w:t xml:space="preserve">Вторият начин е приоритетен за държавите-членки на Европейския съюз. Всяка една от страните има своя самостоятелна социална и здравна политика, но по отношение на грижите за лицата с деменция принципите, от които  се ръководят отделните държави, не се различават съществено. Във всички страни на Европейския съюз  най-разпространена помощ за лицата с деменция е обслужването им по домовете, като сестрински грижи почти няма в Испания и Португалия, а геронтологични болногледачи (дипломирании и платени) има само в Германия. Посещения на социални работници по домовете на болните е често явление, най-вече в Дания и Германия (с предимно контролни функции). Опитът показва, че качеството на живот на най-близките на болния с деменция се влошава и то толкова повече, колкото по-дълго те се грижат за него. Според някои проучвания ¾ от тежестта, свързана с грижите за тези лица, пада върху членовете на семействата им. Тя се изразява главно в: </w:t>
      </w:r>
    </w:p>
    <w:p>
      <w:pPr>
        <w:pStyle w:val="NormalText"/>
        <w:numPr>
          <w:ilvl w:val="0"/>
          <w:numId w:val="16"/>
        </w:numPr>
        <w:rPr/>
      </w:pPr>
      <w:r>
        <w:rPr/>
        <w:t>прекомерна физическа натовареност;</w:t>
      </w:r>
    </w:p>
    <w:p>
      <w:pPr>
        <w:pStyle w:val="NormalText"/>
        <w:numPr>
          <w:ilvl w:val="0"/>
          <w:numId w:val="16"/>
        </w:numPr>
        <w:rPr/>
      </w:pPr>
      <w:r>
        <w:rPr/>
        <w:t>увеличени финансови разходи, които, в много случаи, надминават значително семейните ресурси;</w:t>
      </w:r>
    </w:p>
    <w:p>
      <w:pPr>
        <w:pStyle w:val="NormalText"/>
        <w:numPr>
          <w:ilvl w:val="0"/>
          <w:numId w:val="16"/>
        </w:numPr>
        <w:rPr/>
      </w:pPr>
      <w:r>
        <w:rPr/>
        <w:t>негативно отражение нърху професионалната дейност на грижещите се за болния;</w:t>
      </w:r>
    </w:p>
    <w:p>
      <w:pPr>
        <w:pStyle w:val="NormalText"/>
        <w:numPr>
          <w:ilvl w:val="0"/>
          <w:numId w:val="16"/>
        </w:numPr>
        <w:rPr/>
      </w:pPr>
      <w:r>
        <w:rPr/>
        <w:t xml:space="preserve">повишена заболеваемост (от различни болести) за тях в резултат на живот в перманентен стрес. </w:t>
      </w:r>
    </w:p>
    <w:p>
      <w:pPr>
        <w:pStyle w:val="NormalText"/>
        <w:rPr/>
      </w:pPr>
      <w:r>
        <w:rPr/>
        <w:t xml:space="preserve">Това налага близките от семейния кръг на болния с деменция тип Алцхаймер да бъдат социално подпомагани. Морална помощ, най-вече под формата на психологична подкрепа, съвети и др. има във всички страни на Европейския съюз, като в Испания и Португалия много голяма роля играят религиозните институции. Финансова помощ (директна и чрез данъчни облекчения) за семейството на болния има в Белгия и Франция и отчасти в Испания (само в някои области). В Белгия близките на болните се ползват с големи привилегии да прекъсват временно професионалната си дейност, за да се грижат за болните с право за връщане впоследствие на същата работа. </w:t>
      </w:r>
    </w:p>
    <w:p>
      <w:pPr>
        <w:pStyle w:val="NormalText"/>
        <w:rPr/>
      </w:pPr>
      <w:r>
        <w:rPr/>
        <w:t xml:space="preserve">Нека да разгледаме накратко звената и формите за социални грижи за лицата с деменция  и техните семейства в някои държави  на Европейския съюз. </w:t>
      </w:r>
    </w:p>
    <w:p>
      <w:pPr>
        <w:pStyle w:val="NormalText"/>
        <w:rPr/>
      </w:pPr>
      <w:r>
        <w:rPr/>
        <w:t>Във Франция, както и в другите страни на Европейския съюз, социалната политика спрямо болните с деменции, включително с деменция тип Алцхаймер се изразява по два начина:</w:t>
      </w:r>
    </w:p>
    <w:p>
      <w:pPr>
        <w:pStyle w:val="NormalText"/>
        <w:rPr/>
      </w:pPr>
      <w:r>
        <w:rPr/>
        <w:t>а) настаняване на болните в колективни структури (социални и здравни);</w:t>
      </w:r>
    </w:p>
    <w:p>
      <w:pPr>
        <w:pStyle w:val="NormalText"/>
        <w:rPr/>
      </w:pPr>
      <w:r>
        <w:rPr/>
        <w:t xml:space="preserve">б) грижи за болните с деменции по домовете им и помощи за семействата им като приоритетна социална политика. </w:t>
      </w:r>
    </w:p>
    <w:p>
      <w:pPr>
        <w:pStyle w:val="NormalText"/>
        <w:rPr/>
      </w:pPr>
      <w:r>
        <w:rPr/>
        <w:t>По отношение настаняването на лицата с деменции в колективните социални структури е характерно:</w:t>
      </w:r>
    </w:p>
    <w:p>
      <w:pPr>
        <w:pStyle w:val="NormalText"/>
        <w:numPr>
          <w:ilvl w:val="0"/>
          <w:numId w:val="16"/>
        </w:numPr>
        <w:rPr/>
      </w:pPr>
      <w:r>
        <w:rPr/>
        <w:t>болни с деменция се настаняват в същите колективни структури (институции), които приемат възрастни хора без деменции (според някои данни болните с деменции съставляват  около 40% от всички приети);</w:t>
      </w:r>
    </w:p>
    <w:p>
      <w:pPr>
        <w:pStyle w:val="NormalText"/>
        <w:numPr>
          <w:ilvl w:val="0"/>
          <w:numId w:val="16"/>
        </w:numPr>
        <w:rPr/>
      </w:pPr>
      <w:r>
        <w:rPr/>
        <w:t xml:space="preserve"> </w:t>
      </w:r>
      <w:r>
        <w:rPr/>
        <w:t>съществуват и специфични структури за настаняване само на болни с деменции (включително с деменция тип Алцхаймер);</w:t>
      </w:r>
    </w:p>
    <w:p>
      <w:pPr>
        <w:pStyle w:val="NormalText"/>
        <w:numPr>
          <w:ilvl w:val="0"/>
          <w:numId w:val="16"/>
        </w:numPr>
        <w:rPr/>
      </w:pPr>
      <w:r>
        <w:rPr/>
        <w:t>междинните структури, т.е. структурите между дома на болния и колективните структури за настаняване все още  са рядко явление;</w:t>
      </w:r>
    </w:p>
    <w:p>
      <w:pPr>
        <w:pStyle w:val="NormalText"/>
        <w:numPr>
          <w:ilvl w:val="0"/>
          <w:numId w:val="16"/>
        </w:numPr>
        <w:rPr/>
      </w:pPr>
      <w:r>
        <w:rPr/>
        <w:t xml:space="preserve">броят на възрастните хора без деменции, настанени в структурите за колективен прием е умерен, в сравнение с другите европейски страни. </w:t>
      </w:r>
    </w:p>
    <w:p>
      <w:pPr>
        <w:pStyle w:val="NormalText"/>
        <w:ind w:left="360" w:hanging="0"/>
        <w:rPr/>
      </w:pPr>
      <w:r>
        <w:rPr/>
        <w:t xml:space="preserve">    </w:t>
      </w:r>
      <w:r>
        <w:rPr/>
        <w:t>Лицата с деменции  обикновено се настаняват в следните институции:</w:t>
      </w:r>
    </w:p>
    <w:p>
      <w:pPr>
        <w:pStyle w:val="NormalText"/>
        <w:numPr>
          <w:ilvl w:val="0"/>
          <w:numId w:val="16"/>
        </w:numPr>
        <w:rPr/>
      </w:pPr>
      <w:r>
        <w:rPr/>
        <w:t>старчески домове (</w:t>
      </w:r>
      <w:r>
        <w:rPr>
          <w:lang w:val="en-US"/>
        </w:rPr>
        <w:t>maisons de retraite</w:t>
      </w:r>
      <w:r>
        <w:rPr/>
        <w:t>) със или без секция за медицинско лечение, включващи или не малки специализирани структури тип “</w:t>
      </w:r>
      <w:r>
        <w:rPr>
          <w:lang w:val="en-US"/>
        </w:rPr>
        <w:t>Cantou</w:t>
      </w:r>
      <w:r>
        <w:rPr/>
        <w:t>”(</w:t>
      </w:r>
      <w:r>
        <w:rPr>
          <w:lang w:val="en-US"/>
        </w:rPr>
        <w:t>Centre d'Animation Naturelle Tiree d'Occopations Utiles</w:t>
      </w:r>
      <w:r>
        <w:rPr/>
        <w:t>). Съществуват самостоятелни домове  извън болничните заведения, които   приемат възрастни хора без деменция и такива с различни видове деменции, както и хосписи – старчески домове към болниците. Много е малък броят на домовете, в които не се приемат болни с деменции. Центровете “</w:t>
      </w:r>
      <w:r>
        <w:rPr>
          <w:lang w:val="en-US"/>
        </w:rPr>
        <w:t>Cantou</w:t>
      </w:r>
      <w:r>
        <w:rPr/>
        <w:t xml:space="preserve">”  са интернати с 12-15 стаи, групирани около общ салон. Те се смятат за “заместители” на семейния дом. </w:t>
      </w:r>
    </w:p>
    <w:p>
      <w:pPr>
        <w:pStyle w:val="NormalText"/>
        <w:numPr>
          <w:ilvl w:val="0"/>
          <w:numId w:val="16"/>
        </w:numPr>
        <w:rPr/>
      </w:pPr>
      <w:r>
        <w:rPr/>
        <w:t>служби за продължителен престой (</w:t>
      </w:r>
      <w:r>
        <w:rPr>
          <w:lang w:val="en-US"/>
        </w:rPr>
        <w:t>Service de soins de longue duree</w:t>
      </w:r>
      <w:r>
        <w:rPr/>
        <w:t>)</w:t>
      </w:r>
      <w:r>
        <w:rPr>
          <w:lang w:val="en-US"/>
        </w:rPr>
        <w:t xml:space="preserve"> </w:t>
      </w:r>
      <w:r>
        <w:rPr/>
        <w:t xml:space="preserve">при общите и локалните болници; </w:t>
      </w:r>
    </w:p>
    <w:p>
      <w:pPr>
        <w:pStyle w:val="NormalText"/>
        <w:numPr>
          <w:ilvl w:val="0"/>
          <w:numId w:val="16"/>
        </w:numPr>
        <w:rPr/>
      </w:pPr>
      <w:r>
        <w:rPr/>
        <w:t>жилища-общежития със или без секция за медицинско лечение. Предстоят е за сметка на настанените там, но те получават социални и парични помощи.</w:t>
      </w:r>
    </w:p>
    <w:p>
      <w:pPr>
        <w:pStyle w:val="NormalText"/>
        <w:numPr>
          <w:ilvl w:val="0"/>
          <w:numId w:val="16"/>
        </w:numPr>
        <w:rPr/>
      </w:pPr>
      <w:r>
        <w:rPr/>
        <w:t>домове –частни услуги, които са частни структури с комерсиална цел.</w:t>
      </w:r>
    </w:p>
    <w:p>
      <w:pPr>
        <w:pStyle w:val="NormalText"/>
        <w:ind w:left="720" w:hanging="0"/>
        <w:rPr/>
      </w:pPr>
      <w:r>
        <w:rPr/>
        <w:t>Към междинните структури (т.е. структурите между дома на болния с деменция и колективните структури) се отнасят:</w:t>
      </w:r>
    </w:p>
    <w:p>
      <w:pPr>
        <w:pStyle w:val="NormalText"/>
        <w:numPr>
          <w:ilvl w:val="0"/>
          <w:numId w:val="16"/>
        </w:numPr>
        <w:rPr/>
      </w:pPr>
      <w:r>
        <w:rPr/>
        <w:t>домове за временно настаняване, които позволяват временно облекчение на семейството с прием за известно време на болния там;</w:t>
      </w:r>
    </w:p>
    <w:p>
      <w:pPr>
        <w:pStyle w:val="NormalText"/>
        <w:numPr>
          <w:ilvl w:val="0"/>
          <w:numId w:val="16"/>
        </w:numPr>
        <w:rPr/>
      </w:pPr>
      <w:r>
        <w:rPr/>
        <w:t>дневни центрове, в които болният прекарва няколко часа през деня;</w:t>
      </w:r>
    </w:p>
    <w:p>
      <w:pPr>
        <w:pStyle w:val="NormalText"/>
        <w:numPr>
          <w:ilvl w:val="0"/>
          <w:numId w:val="16"/>
        </w:numPr>
        <w:rPr/>
      </w:pPr>
      <w:r>
        <w:rPr/>
        <w:t>дневни гериатрични болници, в които се приемат болни с деменции един или два пъти седмично.</w:t>
      </w:r>
    </w:p>
    <w:p>
      <w:pPr>
        <w:pStyle w:val="NormalText"/>
        <w:ind w:left="360" w:hanging="0"/>
        <w:rPr/>
      </w:pPr>
      <w:r>
        <w:rPr/>
        <w:t xml:space="preserve">      </w:t>
      </w:r>
      <w:r>
        <w:rPr/>
        <w:t>Приоритет на социалната политика на френската държава е обслужването на болните с деменция да се извършва по домовете им. То включва:</w:t>
      </w:r>
    </w:p>
    <w:p>
      <w:pPr>
        <w:pStyle w:val="NormalText"/>
        <w:numPr>
          <w:ilvl w:val="0"/>
          <w:numId w:val="16"/>
        </w:numPr>
        <w:rPr/>
      </w:pPr>
      <w:r>
        <w:rPr/>
        <w:t>домакински услуги;</w:t>
      </w:r>
    </w:p>
    <w:p>
      <w:pPr>
        <w:pStyle w:val="NormalText"/>
        <w:numPr>
          <w:ilvl w:val="0"/>
          <w:numId w:val="16"/>
        </w:numPr>
        <w:rPr/>
      </w:pPr>
      <w:r>
        <w:rPr/>
        <w:t>сестрински услуги, които се осигуряват по медицинско предписание и се изпълняват от медицински сестри и санитари чрез посредничеството на “Службата за медицински грижи по домовете”;</w:t>
      </w:r>
    </w:p>
    <w:p>
      <w:pPr>
        <w:pStyle w:val="NormalText"/>
        <w:numPr>
          <w:ilvl w:val="0"/>
          <w:numId w:val="16"/>
        </w:numPr>
        <w:rPr/>
      </w:pPr>
      <w:r>
        <w:rPr/>
        <w:t>други услуги (разнасяне на храна по домовете; организиране на различни занимания; охрана; нощно пазене на болния;  подобрения на комфорта на жилището и пр.).</w:t>
      </w:r>
    </w:p>
    <w:p>
      <w:pPr>
        <w:pStyle w:val="NormalText"/>
        <w:ind w:left="360" w:hanging="0"/>
        <w:rPr/>
      </w:pPr>
      <w:r>
        <w:rPr/>
        <w:t xml:space="preserve">     </w:t>
      </w:r>
      <w:r>
        <w:rPr/>
        <w:t xml:space="preserve">Финансирането е обществено (от Националната каса за осигуряване за старост, също от пенсионните каси и общините) и частно (от някои частни застрахователни компании). Всеки възрастен болен с деменция тип Алцхаймер може да получава социална финансова помощ от момента, от които е признат от специалисти за зависим от болестта.  Тази помощ се дава, за да бъде използвана в дома, с оглед да се подпомогнат близките,които се грижат за болния. Социална помощ се оказва и чрез някои данъчни облекчения за семейството, грижещо се за болния. </w:t>
      </w:r>
    </w:p>
    <w:p>
      <w:pPr>
        <w:pStyle w:val="NormalText"/>
        <w:ind w:left="360" w:hanging="0"/>
        <w:rPr/>
      </w:pPr>
      <w:r>
        <w:rPr/>
        <w:t xml:space="preserve">        </w:t>
      </w:r>
      <w:r>
        <w:rPr/>
        <w:t>Макар че броят на социалните структури (домове и инстнитуции) не е никак малък, характерно за социалната политика на Германия е изключително голямото внимание на грижите за лицата с демеции в собствените им домове и оказването на помощ на грижещите се за тях техни близки под различна форма. Според някои данни само около 20% от болните с деменции постъпват в социални структури, които са твърде хетерогенни:</w:t>
      </w:r>
    </w:p>
    <w:p>
      <w:pPr>
        <w:pStyle w:val="NormalText"/>
        <w:numPr>
          <w:ilvl w:val="0"/>
          <w:numId w:val="16"/>
        </w:numPr>
        <w:rPr/>
      </w:pPr>
      <w:r>
        <w:rPr/>
        <w:t>домове за възрастни над 50 г., които са частни заведения;</w:t>
      </w:r>
    </w:p>
    <w:p>
      <w:pPr>
        <w:pStyle w:val="NormalText"/>
        <w:numPr>
          <w:ilvl w:val="0"/>
          <w:numId w:val="16"/>
        </w:numPr>
        <w:rPr/>
      </w:pPr>
      <w:r>
        <w:rPr/>
        <w:t>домове за пенсионери;</w:t>
      </w:r>
    </w:p>
    <w:p>
      <w:pPr>
        <w:pStyle w:val="NormalText"/>
        <w:numPr>
          <w:ilvl w:val="0"/>
          <w:numId w:val="16"/>
        </w:numPr>
        <w:rPr/>
      </w:pPr>
      <w:r>
        <w:rPr/>
        <w:t>домове за обгрижване;</w:t>
      </w:r>
    </w:p>
    <w:p>
      <w:pPr>
        <w:pStyle w:val="NormalText"/>
        <w:numPr>
          <w:ilvl w:val="0"/>
          <w:numId w:val="16"/>
        </w:numPr>
        <w:rPr/>
      </w:pPr>
      <w:r>
        <w:rPr/>
        <w:t>квартири-общежития;</w:t>
      </w:r>
    </w:p>
    <w:p>
      <w:pPr>
        <w:pStyle w:val="NormalText"/>
        <w:numPr>
          <w:ilvl w:val="0"/>
          <w:numId w:val="16"/>
        </w:numPr>
        <w:rPr/>
      </w:pPr>
      <w:r>
        <w:rPr/>
        <w:t xml:space="preserve">домове за закрила, които могат да бъдат отнесени към междинните структури. </w:t>
      </w:r>
    </w:p>
    <w:p>
      <w:pPr>
        <w:pStyle w:val="NormalText"/>
        <w:rPr/>
      </w:pPr>
      <w:r>
        <w:rPr/>
        <w:t xml:space="preserve">Характелно за тези социални структури е, че в резултат на непрекъснато увеличаващия се брой на лицата с деменции възрастните хора без психични нарушения са относително по-малката част сред преобладаващия в тях брой на дементно болните лица. </w:t>
      </w:r>
    </w:p>
    <w:p>
      <w:pPr>
        <w:pStyle w:val="NormalText"/>
        <w:rPr/>
      </w:pPr>
      <w:r>
        <w:rPr/>
        <w:t>За улеснение на грижите лицата с деменция в домашна обстановка през последните десетилетия в Германия са създадени много нови служби, като:</w:t>
      </w:r>
    </w:p>
    <w:p>
      <w:pPr>
        <w:pStyle w:val="NormalText"/>
        <w:numPr>
          <w:ilvl w:val="0"/>
          <w:numId w:val="16"/>
        </w:numPr>
        <w:rPr/>
      </w:pPr>
      <w:r>
        <w:rPr/>
        <w:t>нощни центрове, които функционират от края на следобеда до сутринта;</w:t>
      </w:r>
    </w:p>
    <w:p>
      <w:pPr>
        <w:pStyle w:val="NormalText"/>
        <w:numPr>
          <w:ilvl w:val="0"/>
          <w:numId w:val="16"/>
        </w:numPr>
        <w:rPr/>
      </w:pPr>
      <w:r>
        <w:rPr/>
        <w:t>дневни центрове, в които болните прекарват деня по програма, включваща различни занимания (гимнастика, кинезитерапия и др.);</w:t>
      </w:r>
    </w:p>
    <w:p>
      <w:pPr>
        <w:pStyle w:val="NormalText"/>
        <w:numPr>
          <w:ilvl w:val="0"/>
          <w:numId w:val="16"/>
        </w:numPr>
        <w:rPr/>
      </w:pPr>
      <w:r>
        <w:rPr/>
        <w:t>дневни геронто-психиатрични центрове, в които се провежда лечение и рехабилитация от професионален медицински персонал;</w:t>
      </w:r>
    </w:p>
    <w:p>
      <w:pPr>
        <w:pStyle w:val="NormalText"/>
        <w:numPr>
          <w:ilvl w:val="0"/>
          <w:numId w:val="16"/>
        </w:numPr>
        <w:rPr/>
      </w:pPr>
      <w:r>
        <w:rPr/>
        <w:t>центрове за неврологична диагностика;</w:t>
      </w:r>
    </w:p>
    <w:p>
      <w:pPr>
        <w:pStyle w:val="NormalText"/>
        <w:numPr>
          <w:ilvl w:val="0"/>
          <w:numId w:val="16"/>
        </w:numPr>
        <w:rPr/>
      </w:pPr>
      <w:r>
        <w:rPr/>
        <w:t>центрове за информация и съвети, и пр.</w:t>
      </w:r>
    </w:p>
    <w:p>
      <w:pPr>
        <w:pStyle w:val="NormalText"/>
        <w:rPr/>
      </w:pPr>
      <w:r>
        <w:rPr/>
        <w:t>Голяма помощ на близките на болните с деменции оказват  геронтологичните болногледачи. Това е сравнително нова професия, която бързо се популяризира. Професионалният болногледач може да замести временно близкия на болния в случаи, че заболее или трябва да отиде във ваканция. След приемането на специалната осигуровка за зависимост наред с помощта от различните религиозни институции  напоследък много частни служби ( Германски червен кръст, Работническа социална дейност, Германски съюз Каритас, Германски съюз на работодателите и работниците за социална дейност и др).  започват да конкурират дейността на социалния сектор. Твърде разпространено явление в Германия е разнасянето на храна на лицата с деменция по домовете.</w:t>
      </w:r>
    </w:p>
    <w:p>
      <w:pPr>
        <w:pStyle w:val="NormalText"/>
        <w:rPr/>
      </w:pPr>
      <w:r>
        <w:rPr/>
        <w:t xml:space="preserve">В Белгия, както във всики останали европейски държави, броят на възрастните хора непрекъснато се увеличава. Успоредно с остаряването на населението расте броят на болните с деменции и на първо място на лицата с деменция тип Алцхаймер. </w:t>
      </w:r>
    </w:p>
    <w:p>
      <w:pPr>
        <w:pStyle w:val="NormalText"/>
        <w:rPr/>
      </w:pPr>
      <w:r>
        <w:rPr/>
        <w:t>Към болничните структури се причисляват:</w:t>
      </w:r>
    </w:p>
    <w:p>
      <w:pPr>
        <w:pStyle w:val="NormalText"/>
        <w:numPr>
          <w:ilvl w:val="0"/>
          <w:numId w:val="16"/>
        </w:numPr>
        <w:rPr/>
      </w:pPr>
      <w:r>
        <w:rPr/>
        <w:t>гериатричните служби, които са локализирани в общите болници и предстоят в тях е много кратък – до 24 часа;</w:t>
      </w:r>
    </w:p>
    <w:p>
      <w:pPr>
        <w:pStyle w:val="NormalText"/>
        <w:numPr>
          <w:ilvl w:val="0"/>
          <w:numId w:val="16"/>
        </w:numPr>
        <w:rPr/>
      </w:pPr>
      <w:r>
        <w:rPr/>
        <w:t>специализираните служби, които се намират в общите или в специализираните болници. В тях престоят е много по-дълъг – средно 2-3 месеца;</w:t>
      </w:r>
    </w:p>
    <w:p>
      <w:pPr>
        <w:pStyle w:val="NormalText"/>
        <w:numPr>
          <w:ilvl w:val="0"/>
          <w:numId w:val="16"/>
        </w:numPr>
        <w:rPr/>
      </w:pPr>
      <w:r>
        <w:rPr/>
        <w:t xml:space="preserve">психогериатрични секции, които са локализирани в психиатричните болници и осигуряват по-дълъг престой на болните. </w:t>
      </w:r>
    </w:p>
    <w:p>
      <w:pPr>
        <w:pStyle w:val="NormalText"/>
        <w:ind w:left="720" w:hanging="0"/>
        <w:rPr/>
      </w:pPr>
      <w:r>
        <w:rPr/>
        <w:t>Към т.нар. структури за обитаване могат да бъдат причислени почивните домове за възрастни хора (</w:t>
      </w:r>
      <w:r>
        <w:rPr>
          <w:lang w:val="en-US"/>
        </w:rPr>
        <w:t>MRPA – Maisons de repos pour personnes agees</w:t>
      </w:r>
      <w:r>
        <w:rPr/>
        <w:t>), домовете за почивка и грижи (</w:t>
      </w:r>
      <w:r>
        <w:rPr>
          <w:lang w:val="en-US"/>
        </w:rPr>
        <w:t>MRS – Maisons de repos et de soins</w:t>
      </w:r>
      <w:r>
        <w:rPr/>
        <w:t xml:space="preserve">) и някои специфични структури за болни с деменция. </w:t>
      </w:r>
    </w:p>
    <w:p>
      <w:pPr>
        <w:pStyle w:val="NormalText"/>
        <w:rPr/>
      </w:pPr>
      <w:r>
        <w:rPr/>
        <w:t xml:space="preserve">Домовете за почивка на възрастни хора и старческите домове  приемат възрастни хора над 60 години – здрави и дементно болни. Около 60% от тях принадлежат на частния сектор и 40% - на обществения. Съжителството между здравите и болните с деменции понякога е съпроводено със скандали, заради неориентираност, раздразнителност, неадекватно социално поведение на последните. Поради това, когато техният бой е по-голям, те се групират в отделни места (етажи или крила на сградата). </w:t>
      </w:r>
    </w:p>
    <w:p>
      <w:pPr>
        <w:pStyle w:val="NormalText"/>
        <w:rPr/>
      </w:pPr>
      <w:r>
        <w:rPr/>
        <w:t xml:space="preserve">Домовете за почивка и грижи са интегрирани в почивните домове, но са със специален статут и са предназначени за болни с хронично (дълготрайно протичащи) болести, които изискват сестрински и парамедикални гружи. Болните се следят от техния лекуващ лекар. </w:t>
      </w:r>
    </w:p>
    <w:p>
      <w:pPr>
        <w:pStyle w:val="NormalText"/>
        <w:rPr/>
      </w:pPr>
      <w:r>
        <w:rPr/>
        <w:t xml:space="preserve">Специфичните служби за дементно болни обикновено се намират в домовете за почивка на възрастни хора или в домовете за почивка и грижи. В тях се прилагат различни технологии: ерготерапевтични, социотерапевтични, музикотерапевтични и пр. Важна характеристика на тези структури е поддържането на постоянна връзка на болните със семействата им. </w:t>
      </w:r>
    </w:p>
    <w:p>
      <w:pPr>
        <w:pStyle w:val="NormalText"/>
        <w:rPr/>
      </w:pPr>
      <w:r>
        <w:rPr/>
        <w:t>Три главни институции осигуряват помощ на възрастните болни, включително и на лицата с деменции по домовете:</w:t>
      </w:r>
    </w:p>
    <w:p>
      <w:pPr>
        <w:pStyle w:val="NormalText"/>
        <w:numPr>
          <w:ilvl w:val="0"/>
          <w:numId w:val="16"/>
        </w:numPr>
        <w:rPr/>
      </w:pPr>
      <w:r>
        <w:rPr/>
        <w:t xml:space="preserve">центровете за координация на грижите по домовете, които изпълняват координационни функции между отделните служби: социални служби; служби  за помощ по домовете; служби за сестрински грижи по домовете и други служби за кинезитерапия, служби за разнасяне на храна по домовете и др. </w:t>
      </w:r>
    </w:p>
    <w:p>
      <w:pPr>
        <w:pStyle w:val="NormalText"/>
        <w:numPr>
          <w:ilvl w:val="0"/>
          <w:numId w:val="16"/>
        </w:numPr>
        <w:rPr/>
      </w:pPr>
      <w:r>
        <w:rPr/>
        <w:t>службите за помощ по домовете, които около 80% са частни и 20% - обществени. Начините на финансиране са комплексни, като над 80% от средствата се поемат от държавата, а останалите от подпомагания индивид и от други организации;</w:t>
      </w:r>
    </w:p>
    <w:p>
      <w:pPr>
        <w:pStyle w:val="NormalText"/>
        <w:numPr>
          <w:ilvl w:val="0"/>
          <w:numId w:val="16"/>
        </w:numPr>
        <w:rPr/>
      </w:pPr>
      <w:r>
        <w:rPr/>
        <w:t xml:space="preserve">службите за сестрински грижи по домовете. Тези грижи се осъществяват с помощта на организации от частния сектор – Жълт и Бял кръст. Обикновено и тук държавата поема над 80% от разходите. </w:t>
      </w:r>
    </w:p>
    <w:p>
      <w:pPr>
        <w:pStyle w:val="NormalText"/>
        <w:rPr/>
      </w:pPr>
      <w:r>
        <w:rPr/>
        <w:t xml:space="preserve">Съществуват и служби за охрана на болните, тарифите на  които  обаче са много високи и изцяло са за сметка на нуждаещите се лица. </w:t>
      </w:r>
    </w:p>
    <w:p>
      <w:pPr>
        <w:pStyle w:val="NormalText"/>
        <w:rPr/>
      </w:pPr>
      <w:r>
        <w:rPr/>
        <w:t xml:space="preserve">Към т.нар. междинни структури за оказване на помощ при гледане на демонтно болни в семейни условия могат да се отнесат: центровете за дневен прием; службите за интегрирана помощ, краткотрайното пребиваване в домовете за почивка за възрастни хора и в домовете за почивка и грижи; социалните дневни центрове за възрастни и пр. Гледането на лица с деменция в семейна среда се поощрява от държавата, с оглед да се забави или да се избегне хоспитализацията и институционализацията им. За грижещите се за болния се предлагат редица улеснения. Така например работещите на заплата имат възможност, ако желаят, да прекъснат трудовата си кариера за известен период от време с гаранция за връщането им на същата работа. Това прекъсване обаче не може да надминава 5 години общо за цялостната кариера на работещия. Всичко необходимо за обслужване на болния с деменция (медицинско легло, специална тоалетна и пр.) се получава безплатно от осигурителните компании. Множество асоциации и фондации подпомагат болните с деменция и грижещите се за тях близки. Последните имат възможност да комуникират с помощта на “зелен телефонен номер Алцхаймер”, да получат морална подкрепа от т.нар. “групи за подкрепа” и пр. </w:t>
      </w:r>
    </w:p>
    <w:p>
      <w:pPr>
        <w:pStyle w:val="NormalText"/>
        <w:rPr/>
      </w:pPr>
      <w:r>
        <w:rPr/>
        <w:t>Социалната политика на Дания по отношение на грижите за лицата с деменции се характеризира с някои особености:</w:t>
      </w:r>
    </w:p>
    <w:p>
      <w:pPr>
        <w:pStyle w:val="NormalText"/>
        <w:numPr>
          <w:ilvl w:val="0"/>
          <w:numId w:val="16"/>
        </w:numPr>
        <w:rPr/>
      </w:pPr>
      <w:r>
        <w:rPr/>
        <w:t>деинституционализация, т.е постепенно намаляване на броя на институциите (структурите), в които се настаняват болните с деменции. Това се дължи на основната тенденция за полагане на грижи за тези лица в семейни условия, която е характерна и за другите европейски страни. Съществуват неопровержими данни, че разходите за гледане на дементно болните в семейството са значително по-ниски в сравнение с грижите за тях в останалите колективни структури;</w:t>
      </w:r>
    </w:p>
    <w:p>
      <w:pPr>
        <w:pStyle w:val="NormalText"/>
        <w:numPr>
          <w:ilvl w:val="0"/>
          <w:numId w:val="16"/>
        </w:numPr>
        <w:rPr/>
      </w:pPr>
      <w:r>
        <w:rPr/>
        <w:t>професионализация на обгрижването на болните в дома им, т.е. замяна на грижите от страна на близките от семейството на болните с обгрижване от професионалисти, което от своя страна означава приоритетно развитие на професионалното обслужване по домовете и поемане на тези отговорности от общинските власти;</w:t>
      </w:r>
    </w:p>
    <w:p>
      <w:pPr>
        <w:pStyle w:val="NormalText"/>
        <w:numPr>
          <w:ilvl w:val="0"/>
          <w:numId w:val="16"/>
        </w:numPr>
        <w:rPr/>
      </w:pPr>
      <w:r>
        <w:rPr/>
        <w:t>много висока профионална заетост в трудовия сектор на жените  – около 81%, което означава, че те нямат възможност да се грижат за близките си с деменция; тези пък от тях, които не работят,  най-често са възрастни и им е трудно да се справят сами;</w:t>
      </w:r>
    </w:p>
    <w:p>
      <w:pPr>
        <w:pStyle w:val="NormalText"/>
        <w:numPr>
          <w:ilvl w:val="0"/>
          <w:numId w:val="16"/>
        </w:numPr>
        <w:rPr/>
      </w:pPr>
      <w:r>
        <w:rPr/>
        <w:t>липса на законови задължения (както например  е в Белгия) за съпруга (съпругата) и децата да се грижт за болните от семейството им;</w:t>
      </w:r>
    </w:p>
    <w:p>
      <w:pPr>
        <w:pStyle w:val="NormalText"/>
        <w:numPr>
          <w:ilvl w:val="0"/>
          <w:numId w:val="16"/>
        </w:numPr>
        <w:rPr/>
      </w:pPr>
      <w:r>
        <w:rPr/>
        <w:t>наличие на голям брой възрастни болни, които живеят сами. Това също е една от причините те да не разчитат на помощта на близките си и да предпочитат да бъдат гледани от професионалисти.</w:t>
      </w:r>
    </w:p>
    <w:p>
      <w:pPr>
        <w:pStyle w:val="NormalText"/>
        <w:rPr/>
      </w:pPr>
      <w:r>
        <w:rPr/>
        <w:t>Независимо че социалната политика на Дания спрямо болните с деменции е ориентирана към грижи за тях по домовете им, те могат да бъдат настанявани в следните колективни структури:</w:t>
      </w:r>
    </w:p>
    <w:p>
      <w:pPr>
        <w:pStyle w:val="NormalText"/>
        <w:numPr>
          <w:ilvl w:val="0"/>
          <w:numId w:val="16"/>
        </w:numPr>
        <w:rPr/>
      </w:pPr>
      <w:r>
        <w:rPr/>
        <w:t>старчески домове с медицинско обслужване;</w:t>
      </w:r>
    </w:p>
    <w:p>
      <w:pPr>
        <w:pStyle w:val="NormalText"/>
        <w:numPr>
          <w:ilvl w:val="0"/>
          <w:numId w:val="16"/>
        </w:numPr>
        <w:rPr/>
      </w:pPr>
      <w:r>
        <w:rPr/>
        <w:t>дневни центрове (с грижи за дементно болни);</w:t>
      </w:r>
    </w:p>
    <w:p>
      <w:pPr>
        <w:pStyle w:val="NormalText"/>
        <w:numPr>
          <w:ilvl w:val="0"/>
          <w:numId w:val="16"/>
        </w:numPr>
        <w:rPr/>
      </w:pPr>
      <w:r>
        <w:rPr/>
        <w:t>колективни жилища, които за разлика от дневните центрове функционират денем  и нощем. Болните се настаняват обикновено в индивидуални стаи в едно голямо жилище с обща кухня, столова и салон;</w:t>
      </w:r>
    </w:p>
    <w:p>
      <w:pPr>
        <w:pStyle w:val="NormalText"/>
        <w:numPr>
          <w:ilvl w:val="0"/>
          <w:numId w:val="16"/>
        </w:numPr>
        <w:rPr/>
      </w:pPr>
      <w:r>
        <w:rPr/>
        <w:t>психиатрични домове;</w:t>
      </w:r>
    </w:p>
    <w:p>
      <w:pPr>
        <w:pStyle w:val="NormalText"/>
        <w:numPr>
          <w:ilvl w:val="0"/>
          <w:numId w:val="16"/>
        </w:numPr>
        <w:rPr/>
      </w:pPr>
      <w:r>
        <w:rPr/>
        <w:t>психиатрични болници;</w:t>
      </w:r>
    </w:p>
    <w:p>
      <w:pPr>
        <w:pStyle w:val="NormalText"/>
        <w:numPr>
          <w:ilvl w:val="0"/>
          <w:numId w:val="16"/>
        </w:numPr>
        <w:rPr/>
      </w:pPr>
      <w:r>
        <w:rPr/>
        <w:t xml:space="preserve">общи болници. </w:t>
      </w:r>
    </w:p>
    <w:p>
      <w:pPr>
        <w:pStyle w:val="NormalText"/>
        <w:rPr/>
      </w:pPr>
      <w:r>
        <w:rPr/>
        <w:t xml:space="preserve">Близките на болните с деменции са изправени пред три възможности: да продължават да работят и да прехвърлят грижите за болния на грижите на професионалисти от обществения сектор; да настанят болния в една или друга колективна социална институция; да напуснат работа и да се грижат  за близкия си. Значителна част от тях избират първата възможност, а най-малко или почти не се предпочита третата възможност, тъй като нивото на помощта за близките, грижещи се за болния в Дания, не е на високо равнище. Те слабо се подпомагат от обществения сектор. В замяна на това общините осигуряват квалифицирани професионални социални и медицински грижи от различен вид за болните с деменции по домовете им. На грижещите се за тях известна помощ осигурават и различните асоциации. </w:t>
      </w:r>
    </w:p>
    <w:p>
      <w:pPr>
        <w:pStyle w:val="NormalText"/>
        <w:rPr/>
      </w:pPr>
      <w:r>
        <w:rPr/>
        <w:t>Характерно за Испания е, че социалната и здравната дейност са силно децентрализирани и всяка област (общо 19 на брой) е автономна. И  Испания, също както останалите страни на Европейския съюз, е възприела концепцията за приоритетни социални грижи за болните с деменции по домовете им, но с някои особености:</w:t>
      </w:r>
    </w:p>
    <w:p>
      <w:pPr>
        <w:pStyle w:val="NormalText"/>
        <w:numPr>
          <w:ilvl w:val="0"/>
          <w:numId w:val="16"/>
        </w:numPr>
        <w:rPr/>
      </w:pPr>
      <w:r>
        <w:rPr/>
        <w:t>Испания не е развила в достатъчна степен колективни социални структури (самостоятелни или интегрирани в други здравни или социални институции) и затова има недостиг на такива;</w:t>
      </w:r>
    </w:p>
    <w:p>
      <w:pPr>
        <w:pStyle w:val="NormalText"/>
        <w:numPr>
          <w:ilvl w:val="0"/>
          <w:numId w:val="16"/>
        </w:numPr>
        <w:rPr/>
      </w:pPr>
      <w:r>
        <w:rPr/>
        <w:t>сред съществуващине колективни социални структури, предназначени за настаняване на възрастни хора с деменции частният сектор е доминиращият: частните структури разполагат с два пъти повече места в сравнение с обществения сектор;</w:t>
      </w:r>
    </w:p>
    <w:p>
      <w:pPr>
        <w:pStyle w:val="NormalText"/>
        <w:numPr>
          <w:ilvl w:val="0"/>
          <w:numId w:val="16"/>
        </w:numPr>
        <w:rPr/>
      </w:pPr>
      <w:r>
        <w:rPr/>
        <w:t>процентът на възрастните хора в Испания, които живеят сами (в собствени жилища или като наематели) е сравнително по-нисък от този на другите страни на Европейския съюз;</w:t>
      </w:r>
    </w:p>
    <w:p>
      <w:pPr>
        <w:pStyle w:val="NormalText"/>
        <w:numPr>
          <w:ilvl w:val="0"/>
          <w:numId w:val="16"/>
        </w:numPr>
        <w:rPr/>
      </w:pPr>
      <w:r>
        <w:rPr/>
        <w:t xml:space="preserve">научните проучвания и разработки, отнасящи се до социалните проблеми, които възникват при това заболяване, са съвсем оскъдни. </w:t>
      </w:r>
    </w:p>
    <w:p>
      <w:pPr>
        <w:pStyle w:val="NormalText"/>
        <w:ind w:left="720" w:hanging="0"/>
        <w:rPr/>
      </w:pPr>
      <w:r>
        <w:rPr/>
        <w:t>Поради голямата автономност на отделните области колективните структури за настаняване на възрастни лица с деменции са различно развити: в някои области те са повече, а в други – много по-малко. Тези структури включват:</w:t>
      </w:r>
    </w:p>
    <w:p>
      <w:pPr>
        <w:pStyle w:val="NormalText"/>
        <w:numPr>
          <w:ilvl w:val="0"/>
          <w:numId w:val="16"/>
        </w:numPr>
        <w:rPr/>
      </w:pPr>
      <w:r>
        <w:rPr/>
        <w:t>домове за отдих, принадлежащи на частния сектор;</w:t>
      </w:r>
    </w:p>
    <w:p>
      <w:pPr>
        <w:pStyle w:val="NormalText"/>
        <w:numPr>
          <w:ilvl w:val="0"/>
          <w:numId w:val="16"/>
        </w:numPr>
        <w:rPr/>
      </w:pPr>
      <w:r>
        <w:rPr/>
        <w:t>дневни центрове;</w:t>
      </w:r>
    </w:p>
    <w:p>
      <w:pPr>
        <w:pStyle w:val="NormalText"/>
        <w:numPr>
          <w:ilvl w:val="0"/>
          <w:numId w:val="16"/>
        </w:numPr>
        <w:rPr/>
      </w:pPr>
      <w:r>
        <w:rPr/>
        <w:t>звена (структури) за стимулация на паметта и на другите когнитивни функции;</w:t>
      </w:r>
    </w:p>
    <w:p>
      <w:pPr>
        <w:pStyle w:val="NormalText"/>
        <w:numPr>
          <w:ilvl w:val="0"/>
          <w:numId w:val="16"/>
        </w:numPr>
        <w:rPr/>
      </w:pPr>
      <w:r>
        <w:rPr/>
        <w:t>извънболнични центрове за умствено здраве;</w:t>
      </w:r>
    </w:p>
    <w:p>
      <w:pPr>
        <w:pStyle w:val="NormalText"/>
        <w:numPr>
          <w:ilvl w:val="0"/>
          <w:numId w:val="16"/>
        </w:numPr>
        <w:rPr/>
      </w:pPr>
      <w:r>
        <w:rPr/>
        <w:t xml:space="preserve">психиатрични болници с геронто-психиатрични звена в тях. </w:t>
      </w:r>
    </w:p>
    <w:p>
      <w:pPr>
        <w:pStyle w:val="NormalText"/>
        <w:rPr/>
      </w:pPr>
      <w:r>
        <w:rPr/>
        <w:t xml:space="preserve">Болните с деменции са преди всичко обект на общи помощни програми, а не на специфични социални структури. Най-разпространена е програмата за обслужване по домовете. Тя включва дейности, свързани с почистване и домакинска работа (пране, гладене, в някои случаи готвене и др.) и помощ, свързана с личния тоалет на болния. В някои области освен това се добавят и извънжилищни услуги (съпровождане при посещение при лекар, покупки на продукти и пр.). В отделните автономни области има множество асоциации, които оказват помощ на болните с деменции, но тя не е добре координирана. </w:t>
      </w:r>
    </w:p>
    <w:p>
      <w:pPr>
        <w:pStyle w:val="NormalText"/>
        <w:rPr/>
      </w:pPr>
      <w:r>
        <w:rPr/>
        <w:t>В Португалия политиката на правителството и на местните власти се различават до известна степен по отношение на социалните грижи за възрастните болни (включително и лицата с деменции): на национално ниво се поддържа принципът за полагане на грижи за тях по домовете, докато на местно ниво обикновено се отдава предочитание за увеличаване на броя на старческите домове и другите структури за настаняване. При това:</w:t>
      </w:r>
    </w:p>
    <w:p>
      <w:pPr>
        <w:pStyle w:val="NormalText"/>
        <w:numPr>
          <w:ilvl w:val="0"/>
          <w:numId w:val="16"/>
        </w:numPr>
        <w:rPr/>
      </w:pPr>
      <w:r>
        <w:rPr/>
        <w:t>структурите за настаняване на възрастни хора и на лица с деменции са недостатъчни по количество и голяма част от тях принадлежат на религиозни организации;</w:t>
      </w:r>
    </w:p>
    <w:p>
      <w:pPr>
        <w:pStyle w:val="NormalText"/>
        <w:numPr>
          <w:ilvl w:val="0"/>
          <w:numId w:val="16"/>
        </w:numPr>
        <w:rPr/>
      </w:pPr>
      <w:r>
        <w:rPr/>
        <w:t>почти няма специализирани социални структури за настаняване на болните с деменция тип Алцхаймер;</w:t>
      </w:r>
    </w:p>
    <w:p>
      <w:pPr>
        <w:pStyle w:val="NormalText"/>
        <w:numPr>
          <w:ilvl w:val="0"/>
          <w:numId w:val="16"/>
        </w:numPr>
        <w:rPr/>
      </w:pPr>
      <w:r>
        <w:rPr/>
        <w:t>липсват специализирани проучвания за болестта на Алцхаймер;</w:t>
      </w:r>
    </w:p>
    <w:p>
      <w:pPr>
        <w:pStyle w:val="NormalText"/>
        <w:numPr>
          <w:ilvl w:val="0"/>
          <w:numId w:val="16"/>
        </w:numPr>
        <w:rPr/>
      </w:pPr>
      <w:r>
        <w:rPr/>
        <w:t>няма специализация по гериатия и общопрактикуващите лекари не са добре запознати със спецификата на възрастовата патология;</w:t>
      </w:r>
    </w:p>
    <w:p>
      <w:pPr>
        <w:pStyle w:val="NormalText"/>
        <w:numPr>
          <w:ilvl w:val="0"/>
          <w:numId w:val="16"/>
        </w:numPr>
        <w:rPr/>
      </w:pPr>
      <w:r>
        <w:rPr/>
        <w:t xml:space="preserve">съществува недостиг на професионални болногледачи. </w:t>
      </w:r>
    </w:p>
    <w:p>
      <w:pPr>
        <w:pStyle w:val="NormalText"/>
        <w:ind w:left="360" w:hanging="0"/>
        <w:rPr/>
      </w:pPr>
      <w:r>
        <w:rPr/>
        <w:t xml:space="preserve">  </w:t>
      </w:r>
      <w:r>
        <w:rPr/>
        <w:t>Към колективните структури за настаняване на възрастни хора и на болни с деменции се отнасят:</w:t>
      </w:r>
    </w:p>
    <w:p>
      <w:pPr>
        <w:pStyle w:val="NormalText"/>
        <w:numPr>
          <w:ilvl w:val="0"/>
          <w:numId w:val="16"/>
        </w:numPr>
        <w:rPr/>
      </w:pPr>
      <w:r>
        <w:rPr/>
        <w:t>старческите домове (за лица с малки доходи);</w:t>
      </w:r>
    </w:p>
    <w:p>
      <w:pPr>
        <w:pStyle w:val="NormalText"/>
        <w:numPr>
          <w:ilvl w:val="0"/>
          <w:numId w:val="16"/>
        </w:numPr>
        <w:rPr/>
      </w:pPr>
      <w:r>
        <w:rPr/>
        <w:t>жилищата-сервизи, които са частни и малко достъпни за голяма част от населението;</w:t>
      </w:r>
    </w:p>
    <w:p>
      <w:pPr>
        <w:pStyle w:val="NormalText"/>
        <w:numPr>
          <w:ilvl w:val="0"/>
          <w:numId w:val="16"/>
        </w:numPr>
        <w:rPr/>
      </w:pPr>
      <w:r>
        <w:rPr/>
        <w:t>дневните центрове, които предлагат временен престой, а също услуги и помощи по домовете;</w:t>
      </w:r>
    </w:p>
    <w:p>
      <w:pPr>
        <w:pStyle w:val="NormalText"/>
        <w:numPr>
          <w:ilvl w:val="0"/>
          <w:numId w:val="16"/>
        </w:numPr>
        <w:rPr/>
      </w:pPr>
      <w:r>
        <w:rPr/>
        <w:t xml:space="preserve">някои болници с организирано разделно приемане на болни с деменции за по-продължителен престой (болни с по-лека степен и болни с по-изявена деменция). </w:t>
      </w:r>
    </w:p>
    <w:p>
      <w:pPr>
        <w:pStyle w:val="NormalText"/>
        <w:rPr/>
      </w:pPr>
      <w:r>
        <w:rPr/>
        <w:t xml:space="preserve">И в Португалия семейството играе първостепенна роля по отношение на грижите на възрастните  болни. Няма специални помощи за грижещите се болните, които са предимно жени. Има обаче множество асоциации (в това число и религиозни), които подпомагат семействата на болните, но не съществуват специализирани грижи и помощи за болните с деменция и болестта на Алцхаймер. По отношение на тези болни Португалия изостава в сравнение с другите страни на Европейския съюз. За преодоляване на това изоставане до известна степен помагат различните програми и проекти, в които се отдава приоритет на обгрижването на лицата с деменции ( проект </w:t>
      </w:r>
      <w:r>
        <w:rPr>
          <w:lang w:val="en-US"/>
        </w:rPr>
        <w:t xml:space="preserve">STA, SAD, Forhum </w:t>
      </w:r>
      <w:r>
        <w:rPr/>
        <w:t>и др. ).</w:t>
      </w:r>
    </w:p>
    <w:p>
      <w:pPr>
        <w:pStyle w:val="NormalText"/>
        <w:rPr/>
      </w:pPr>
      <w:r>
        <w:rPr/>
        <w:t>Обобщено социално-герагогическата дейност на страните от Европейския съюз се характеризира със следните особености:</w:t>
      </w:r>
    </w:p>
    <w:p>
      <w:pPr>
        <w:pStyle w:val="NormalText"/>
        <w:numPr>
          <w:ilvl w:val="0"/>
          <w:numId w:val="16"/>
        </w:numPr>
        <w:rPr/>
      </w:pPr>
      <w:r>
        <w:rPr/>
        <w:t>Във всички страни населението прогресивно остарява.</w:t>
      </w:r>
    </w:p>
    <w:p>
      <w:pPr>
        <w:pStyle w:val="NormalText"/>
        <w:numPr>
          <w:ilvl w:val="0"/>
          <w:numId w:val="16"/>
        </w:numPr>
        <w:rPr/>
      </w:pPr>
      <w:r>
        <w:rPr/>
        <w:t>Остарянето на населението в Европа води до увеличаване на болните с деменции и особено на деменцията тип Алцхаймер.</w:t>
      </w:r>
    </w:p>
    <w:p>
      <w:pPr>
        <w:pStyle w:val="NormalText"/>
        <w:numPr>
          <w:ilvl w:val="0"/>
          <w:numId w:val="16"/>
        </w:numPr>
        <w:rPr/>
      </w:pPr>
      <w:r>
        <w:rPr/>
        <w:t>Увеличаването на болните с деменции е правопропорционално на увеличаването на възрастта (най-силно е изразено след 80-годишна възраст).</w:t>
      </w:r>
    </w:p>
    <w:p>
      <w:pPr>
        <w:pStyle w:val="NormalText"/>
        <w:numPr>
          <w:ilvl w:val="0"/>
          <w:numId w:val="16"/>
        </w:numPr>
        <w:rPr/>
      </w:pPr>
      <w:r>
        <w:rPr/>
        <w:t>От болните с деменции най-голям е процентът на болните с деменция тип Алцхаймер.</w:t>
      </w:r>
    </w:p>
    <w:p>
      <w:pPr>
        <w:pStyle w:val="NormalText"/>
        <w:numPr>
          <w:ilvl w:val="0"/>
          <w:numId w:val="16"/>
        </w:numPr>
        <w:rPr/>
      </w:pPr>
      <w:r>
        <w:rPr/>
        <w:t>Решението на дилемата “Повече грижи за болния с деменция?” или “Повече помощ за семейството му?” е в полза на втората алтернатива, тъй като близките на болните понасят око</w:t>
      </w:r>
      <w:r>
        <w:rPr>
          <w:b/>
        </w:rPr>
        <w:t>ло</w:t>
      </w:r>
      <w:r>
        <w:rPr/>
        <w:t xml:space="preserve"> </w:t>
      </w:r>
      <w:r>
        <w:rPr>
          <w:b/>
        </w:rPr>
        <w:t>¾</w:t>
      </w:r>
      <w:r>
        <w:rPr/>
        <w:t xml:space="preserve"> от тежестта на грижите за тях.</w:t>
      </w:r>
    </w:p>
    <w:p>
      <w:pPr>
        <w:pStyle w:val="NormalText"/>
        <w:numPr>
          <w:ilvl w:val="0"/>
          <w:numId w:val="16"/>
        </w:numPr>
        <w:rPr/>
      </w:pPr>
      <w:r>
        <w:rPr/>
        <w:t>Социалната политика “грижи за грижещите се” е приоритетна за всички страни на Европа, но тя се прилага по различен начин и в различни мащаби, според възможностите на всяка страна.</w:t>
      </w:r>
    </w:p>
    <w:p>
      <w:pPr>
        <w:pStyle w:val="NormalText"/>
        <w:numPr>
          <w:ilvl w:val="0"/>
          <w:numId w:val="16"/>
        </w:numPr>
        <w:rPr/>
      </w:pPr>
      <w:r>
        <w:rPr/>
        <w:t>Колективните социални структури за настаняване на болните с деменции и на тези с деменция тип Алцхамер са развити в различна степен в отделните страни, но обща констатация е, че има недостиг на тях почти във всички страни.</w:t>
      </w:r>
    </w:p>
    <w:p>
      <w:pPr>
        <w:pStyle w:val="NormalText"/>
        <w:numPr>
          <w:ilvl w:val="0"/>
          <w:numId w:val="16"/>
        </w:numPr>
        <w:rPr/>
      </w:pPr>
      <w:r>
        <w:rPr/>
        <w:t xml:space="preserve">В много от страните на Европейския съюз не малка част от колективните социални структури принадлежат на частния сектор и на религиозни организации. </w:t>
      </w:r>
    </w:p>
    <w:p>
      <w:pPr>
        <w:pStyle w:val="NormalText"/>
        <w:numPr>
          <w:ilvl w:val="0"/>
          <w:numId w:val="16"/>
        </w:numPr>
        <w:rPr/>
      </w:pPr>
      <w:r>
        <w:rPr/>
        <w:t xml:space="preserve">Ролята на различни фондации и асоциации е значителна не само по отношение на  грижите за болните с деменции, а и на подпомагането на научните изследвания, свързани с деменциите. </w:t>
      </w:r>
    </w:p>
    <w:p>
      <w:pPr>
        <w:pStyle w:val="NormalText"/>
        <w:numPr>
          <w:ilvl w:val="0"/>
          <w:numId w:val="16"/>
        </w:numPr>
        <w:rPr/>
      </w:pPr>
      <w:r>
        <w:rPr/>
        <w:t>В страните от Европейския съюз все повече се разрастват т.н. експертни центрове. Те са специализирани за диагностика на болни с деменции. В тях се поставя не само точна диагноза, а и се осигуряват и последващи консултации на такива лица.</w:t>
      </w:r>
    </w:p>
    <w:p>
      <w:pPr>
        <w:pStyle w:val="NormalText"/>
        <w:numPr>
          <w:ilvl w:val="0"/>
          <w:numId w:val="16"/>
        </w:numPr>
        <w:rPr/>
      </w:pPr>
      <w:r>
        <w:rPr/>
        <w:t>От колективните социални структури най-предпочитани за настаняване в тях на болни с деменции и на лица с деменция тип Алцхаймер са структурите тип “</w:t>
      </w:r>
      <w:r>
        <w:rPr>
          <w:lang w:val="en-US"/>
        </w:rPr>
        <w:t>Cantou</w:t>
      </w:r>
      <w:r>
        <w:rPr/>
        <w:t>” и дневните центрове. Значително  по-малко подходящи в сравнение с тях са старческите домове, като се предпочитат най-често тези с медицински грижи и особено ако в тях е интегриран център тип “</w:t>
      </w:r>
      <w:r>
        <w:rPr>
          <w:lang w:val="en-US"/>
        </w:rPr>
        <w:t>Cantou</w:t>
      </w:r>
      <w:r>
        <w:rPr/>
        <w:t>”.</w:t>
      </w:r>
    </w:p>
    <w:p>
      <w:pPr>
        <w:pStyle w:val="NormalText"/>
        <w:rPr/>
      </w:pPr>
      <w:r>
        <w:rPr/>
        <w:t>Разновидностите на социалните и здравните системи на страните на Европейския съюз създават известни трудности при формулирането на общите тенденции в тази насока. Въпреки това познаването им ще даде  възможност на страните – бъдещи членки на съюза (а това се отнася и за България) да изберат и прилагат най-подходящите за тях програми според националните си особености  и възможности.</w:t>
      </w:r>
    </w:p>
    <w:p>
      <w:pPr>
        <w:pStyle w:val="NormalText"/>
        <w:ind w:left="360" w:hanging="0"/>
        <w:rPr/>
      </w:pPr>
      <w:r>
        <w:rPr/>
      </w:r>
    </w:p>
    <w:p>
      <w:pPr>
        <w:pStyle w:val="NormalText"/>
        <w:rPr/>
      </w:pPr>
      <w:r>
        <w:rPr/>
      </w:r>
    </w:p>
    <w:p>
      <w:pPr>
        <w:pStyle w:val="NormalText"/>
        <w:ind w:left="360" w:hanging="0"/>
        <w:rPr/>
      </w:pPr>
      <w:r>
        <w:rPr/>
      </w:r>
    </w:p>
    <w:p>
      <w:pPr>
        <w:pStyle w:val="NormalText"/>
        <w:ind w:hanging="0"/>
        <w:rPr/>
      </w:pPr>
      <w:r>
        <w:rPr/>
      </w:r>
    </w:p>
    <w:p>
      <w:pPr>
        <w:pStyle w:val="NormalText"/>
        <w:ind w:left="720" w:hanging="0"/>
        <w:rPr>
          <w:lang w:val="en-US"/>
        </w:rPr>
      </w:pPr>
      <w:r>
        <w:rPr>
          <w:lang w:val="en-US"/>
        </w:rPr>
      </w:r>
    </w:p>
    <w:p>
      <w:pPr>
        <w:pStyle w:val="TableHeading2"/>
        <w:rPr>
          <w:b w:val="false"/>
          <w:b w:val="false"/>
          <w:lang w:val="en-US"/>
        </w:rPr>
      </w:pPr>
      <w:r>
        <w:rPr>
          <w:b w:val="false"/>
          <w:lang w:val="en-US"/>
        </w:rPr>
      </w:r>
      <w:r>
        <w:br w:type="page"/>
      </w:r>
    </w:p>
    <w:p>
      <w:pPr>
        <w:pStyle w:val="NormalText"/>
        <w:rPr>
          <w:b w:val="false"/>
          <w:b w:val="false"/>
        </w:rPr>
      </w:pPr>
      <w:r>
        <w:rPr>
          <w:b w:val="false"/>
        </w:rPr>
      </w:r>
    </w:p>
    <w:p>
      <w:pPr>
        <w:pStyle w:val="Heading1"/>
        <w:jc w:val="both"/>
        <w:rPr>
          <w:lang w:val="en-US"/>
        </w:rPr>
      </w:pPr>
      <w:bookmarkStart w:id="39" w:name="__RefHeading___Toc89859701"/>
      <w:bookmarkEnd w:id="39"/>
      <w:r>
        <w:rPr/>
        <w:t xml:space="preserve">                                             </w:t>
      </w:r>
      <w:r>
        <w:rPr/>
        <w:t>Литература</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Александрова</w:t>
      </w:r>
      <w:r>
        <w:rPr/>
        <w:t>, М.Д. Очерки психофизиологии старения. Л., 1965.</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Александрова</w:t>
      </w:r>
      <w:r>
        <w:rPr/>
        <w:t>, М.Д. Проблемы социальной и психологической геронтологии. ИЛУ, 1974.</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Александрова</w:t>
      </w:r>
      <w:r>
        <w:rPr/>
        <w:t>, Н. Старите хора. Личностно-психологически особености. Унив. изд-во “Св. Кл. Охридски”, С.,  2001.</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Александрова</w:t>
      </w:r>
      <w:r>
        <w:rPr/>
        <w:t>, Н. Тревожност при хора в напреднала и старческа възраст. Унив. изд-во “Св. Кл. Охридски”, С., 2002.</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Ананьев</w:t>
      </w:r>
      <w:r>
        <w:rPr/>
        <w:t>, Б.Г. Избранные психологические труды. Т. 1. М., 1980.</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Ананьев</w:t>
      </w:r>
      <w:r>
        <w:rPr/>
        <w:t>, Б.Г. Избранные труды. Т.1 и Т.2. Л., 1989.</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Атанасов</w:t>
      </w:r>
      <w:r>
        <w:rPr/>
        <w:t>, А.  и др. Някои проблеми на реализацията на остатъчните трудови възможности на възрастните хора в България. – Статистика, 1999, № 3, с. 28-41.</w:t>
      </w:r>
    </w:p>
    <w:p>
      <w:pPr>
        <w:pStyle w:val="Normal"/>
        <w:numPr>
          <w:ilvl w:val="0"/>
          <w:numId w:val="75"/>
        </w:numPr>
        <w:tabs>
          <w:tab w:val="clear" w:pos="284"/>
          <w:tab w:val="right" w:pos="567" w:leader="none"/>
          <w:tab w:val="right" w:pos="851" w:leader="none"/>
        </w:tabs>
        <w:spacing w:lineRule="auto" w:line="240" w:before="0" w:after="120"/>
        <w:ind w:left="567" w:hanging="567"/>
        <w:rPr/>
      </w:pPr>
      <w:r>
        <w:rPr/>
        <w:t>БМЭ, т. 6. М., 1958, с. 951.</w:t>
      </w:r>
    </w:p>
    <w:p>
      <w:pPr>
        <w:pStyle w:val="Normal"/>
        <w:numPr>
          <w:ilvl w:val="0"/>
          <w:numId w:val="75"/>
        </w:numPr>
        <w:tabs>
          <w:tab w:val="clear" w:pos="284"/>
          <w:tab w:val="right" w:pos="567" w:leader="none"/>
          <w:tab w:val="right" w:pos="851" w:leader="none"/>
        </w:tabs>
        <w:spacing w:lineRule="auto" w:line="240" w:before="0" w:after="120"/>
        <w:ind w:left="567" w:hanging="567"/>
        <w:rPr>
          <w:lang w:val="en-US"/>
        </w:rPr>
      </w:pPr>
      <w:r>
        <w:rPr>
          <w:lang w:val="en-US"/>
        </w:rPr>
        <w:t>БСЭ, т. 6. М., 1971, с. 424.</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Бътлър</w:t>
      </w:r>
      <w:r>
        <w:rPr/>
        <w:t>, Р. Революцията на дълголетието. Куриер на Юнеско, февруари, 1999.</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Вершловский</w:t>
      </w:r>
      <w:r>
        <w:rPr/>
        <w:t>, С.Г. Взрослый как субект образования. – Педагогика, 2003, № 8.</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lang w:val="en-US"/>
        </w:rPr>
        <w:t>Визев</w:t>
      </w:r>
      <w:r>
        <w:rPr>
          <w:lang w:val="en-US"/>
        </w:rPr>
        <w:t>, Ст. Стареене, старост, дълголетие. С., Медицина и физкултура, 1985.</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lang w:val="en-US"/>
        </w:rPr>
        <w:t>Влайков</w:t>
      </w:r>
      <w:r>
        <w:rPr>
          <w:lang w:val="en-US"/>
        </w:rPr>
        <w:t>, Ал. Смъртта и безсмъртието на човека</w:t>
      </w:r>
      <w:r>
        <w:rPr/>
        <w:t xml:space="preserve"> (танатология)</w:t>
      </w:r>
      <w:r>
        <w:rPr>
          <w:lang w:val="en-US"/>
        </w:rPr>
        <w:t>. С., Медицина и физкултура, 1998.</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Георгиев</w:t>
      </w:r>
      <w:r>
        <w:rPr/>
        <w:t>, Л. Психология на възрастните. Благоевград, 2003.</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Грановкая</w:t>
      </w:r>
      <w:r>
        <w:rPr/>
        <w:t>, Р.М. Элементы практической психологии. Л., 1984.</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Грмек</w:t>
      </w:r>
      <w:r>
        <w:rPr/>
        <w:t>, М.Д. Геронтология – учение о старости и долголетии. М., 1964.</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Гюрова</w:t>
      </w:r>
      <w:r>
        <w:rPr/>
        <w:t xml:space="preserve">, В. Андрагогия. Изкуството да обучаваме възрастните. С., “Универсал Друмев, 1998. </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Давыдовский</w:t>
      </w:r>
      <w:r>
        <w:rPr/>
        <w:t>, И.В. Геронтология. М., 1966.</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Дубина</w:t>
      </w:r>
      <w:r>
        <w:rPr/>
        <w:t>, Т.Л., А.Н. Разумович. Введение в экспериментальную геронтологию. Минск, 1975.</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lang w:val="en-US"/>
        </w:rPr>
        <w:t>Дубина</w:t>
      </w:r>
      <w:r>
        <w:rPr>
          <w:lang w:val="en-US"/>
        </w:rPr>
        <w:t>, Т.Л., А.Н. Разумович. Введение в Экспериментальную геронтологию. Минск, 1975.</w:t>
      </w:r>
    </w:p>
    <w:p>
      <w:pPr>
        <w:pStyle w:val="Normal"/>
        <w:numPr>
          <w:ilvl w:val="0"/>
          <w:numId w:val="75"/>
        </w:numPr>
        <w:tabs>
          <w:tab w:val="clear" w:pos="284"/>
          <w:tab w:val="right" w:pos="567" w:leader="none"/>
          <w:tab w:val="right" w:pos="851" w:leader="none"/>
        </w:tabs>
        <w:spacing w:lineRule="auto" w:line="240" w:before="0" w:after="120"/>
        <w:ind w:left="567" w:hanging="567"/>
        <w:rPr/>
      </w:pPr>
      <w:r>
        <w:rPr/>
        <w:t xml:space="preserve">Закон за здравето. ДВ бр. 70 от 10.08.2004 г. </w:t>
      </w:r>
    </w:p>
    <w:p>
      <w:pPr>
        <w:pStyle w:val="Normal"/>
        <w:numPr>
          <w:ilvl w:val="0"/>
          <w:numId w:val="75"/>
        </w:numPr>
        <w:tabs>
          <w:tab w:val="clear" w:pos="284"/>
          <w:tab w:val="right" w:pos="567" w:leader="none"/>
          <w:tab w:val="right" w:pos="851" w:leader="none"/>
        </w:tabs>
        <w:spacing w:lineRule="auto" w:line="240" w:before="0" w:after="120"/>
        <w:ind w:left="567" w:hanging="567"/>
        <w:rPr/>
      </w:pPr>
      <w:r>
        <w:rPr/>
        <w:t xml:space="preserve">Закон за интеграция на хората с увреждания. Д.В. бр. 81 от 17. 09. 2004 г. </w:t>
      </w:r>
    </w:p>
    <w:p>
      <w:pPr>
        <w:pStyle w:val="Normal"/>
        <w:numPr>
          <w:ilvl w:val="0"/>
          <w:numId w:val="75"/>
        </w:numPr>
        <w:tabs>
          <w:tab w:val="clear" w:pos="284"/>
          <w:tab w:val="right" w:pos="567" w:leader="none"/>
          <w:tab w:val="right" w:pos="851" w:leader="none"/>
        </w:tabs>
        <w:spacing w:lineRule="auto" w:line="240" w:before="0" w:after="120"/>
        <w:ind w:left="567" w:hanging="567"/>
        <w:rPr/>
      </w:pPr>
      <w:r>
        <w:rPr/>
        <w:t>Закон за социално подпомагане. Д.В. бр. 56 от 19.05. 1998 г., изм. бр. 45 от 30.04. 2002 г., изм. и доп., бр. 120 от 29.12. 2002 г.</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Йолов</w:t>
      </w:r>
      <w:r>
        <w:rPr/>
        <w:t>, Г. От върха на годините. С., 1982.</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Карсаевская</w:t>
      </w:r>
      <w:r>
        <w:rPr/>
        <w:t>, Т.В., А.Т. Шаталов. Философские аспекты геронтологии. М., 1976.</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Константинов</w:t>
      </w:r>
      <w:r>
        <w:rPr/>
        <w:t>, К., И.Петров, Хр. Христозов. Психология и психопатология на напредналата възраст. С., 1981.</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Кулюткин</w:t>
      </w:r>
      <w:r>
        <w:rPr/>
        <w:t>, Ю.Н. Психология обучения взрослых, М., 1985.</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Линчевский</w:t>
      </w:r>
      <w:r>
        <w:rPr/>
        <w:t>, Э. Контакты и конфликты. М., 2000.</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Ломов</w:t>
      </w:r>
      <w:r>
        <w:rPr/>
        <w:t>, Б.Ф. Проблема соотношения социального и биологического в психологии. “Вопросы философии”, 1976, кн. 4.</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Максимова, Ю.</w:t>
      </w:r>
      <w:r>
        <w:rPr/>
        <w:t xml:space="preserve"> Социално-геронтологична дейност в някои страни на Европейския съюз за болните с деменция и техните семейства. Дипл. работа, ФНПП, 2004. </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Минков</w:t>
      </w:r>
      <w:r>
        <w:rPr/>
        <w:t xml:space="preserve">, М. Демография. Албатрос, 1999. </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lang w:val="en-US"/>
        </w:rPr>
        <w:t>Мирек</w:t>
      </w:r>
      <w:r>
        <w:rPr>
          <w:lang w:val="en-US"/>
        </w:rPr>
        <w:t>, В.Ф. Геронтология как научная дисциплина и еë положение в системе медико-биологических наук. – В кн. Проблемы долголетия. М., 1962, с. 43.</w:t>
      </w:r>
    </w:p>
    <w:p>
      <w:pPr>
        <w:pStyle w:val="Normal"/>
        <w:numPr>
          <w:ilvl w:val="0"/>
          <w:numId w:val="75"/>
        </w:numPr>
        <w:tabs>
          <w:tab w:val="clear" w:pos="284"/>
          <w:tab w:val="right" w:pos="567" w:leader="none"/>
          <w:tab w:val="right" w:pos="851" w:leader="none"/>
        </w:tabs>
        <w:spacing w:lineRule="auto" w:line="240" w:before="0" w:after="120"/>
        <w:ind w:left="567" w:hanging="567"/>
        <w:rPr/>
      </w:pPr>
      <w:r>
        <w:rPr/>
        <w:t>Образование и “третий возраст”- Сов. Педагогика, 1989, № 6, с.102-108.</w:t>
      </w:r>
    </w:p>
    <w:p>
      <w:pPr>
        <w:pStyle w:val="Normal"/>
        <w:numPr>
          <w:ilvl w:val="0"/>
          <w:numId w:val="75"/>
        </w:numPr>
        <w:tabs>
          <w:tab w:val="clear" w:pos="284"/>
          <w:tab w:val="right" w:pos="567" w:leader="none"/>
          <w:tab w:val="right" w:pos="851" w:leader="none"/>
        </w:tabs>
        <w:spacing w:lineRule="auto" w:line="240" w:before="0" w:after="120"/>
        <w:ind w:left="567" w:hanging="567"/>
        <w:rPr/>
      </w:pPr>
      <w:r>
        <w:rPr/>
        <w:t>Образованието и квалификацията на възрастни в някои европейски страни. Авт. кол.: М. Македонска и др. С., НИИО, 1991.</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Палешутски</w:t>
      </w:r>
      <w:r>
        <w:rPr/>
        <w:t>, К. Самотата. Благоевград, 1982.</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Петров,</w:t>
      </w:r>
      <w:r>
        <w:rPr/>
        <w:t xml:space="preserve"> И.Х. Стареене на психиката. С., 1978.</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Петров</w:t>
      </w:r>
      <w:r>
        <w:rPr/>
        <w:t>, П., М.Атанасова. Образованието и обучението на възрастните. Актуални проблеми. С., 2003, ІІ изд.</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Пиняева</w:t>
      </w:r>
      <w:r>
        <w:rPr/>
        <w:t>, С.Е., Н.В. Андреев. Личностное и профессиональное развитие в период зрелости. – Вопросы психологии. 1998, № 2.</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Пирьов</w:t>
      </w:r>
      <w:r>
        <w:rPr/>
        <w:t>, Г. Детска психология. С., 1971.</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Пирьов</w:t>
      </w:r>
      <w:r>
        <w:rPr/>
        <w:t>, Г., Ст. Желев. Детска и педагогическа психология. С., 1970.</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Подобед</w:t>
      </w:r>
      <w:r>
        <w:rPr/>
        <w:t>, В.И., В.В. Горшкова. Образование взрослых: методологический аспект. – Педагогика, 2003, № 7.</w:t>
      </w:r>
    </w:p>
    <w:p>
      <w:pPr>
        <w:pStyle w:val="Normal"/>
        <w:numPr>
          <w:ilvl w:val="0"/>
          <w:numId w:val="75"/>
        </w:numPr>
        <w:tabs>
          <w:tab w:val="clear" w:pos="284"/>
          <w:tab w:val="right" w:pos="567" w:leader="none"/>
          <w:tab w:val="right" w:pos="851" w:leader="none"/>
        </w:tabs>
        <w:spacing w:lineRule="auto" w:line="240" w:before="0" w:after="120"/>
        <w:ind w:left="567" w:hanging="567"/>
        <w:rPr/>
      </w:pPr>
      <w:r>
        <w:rPr/>
        <w:t>Правилник за прилагане на Закона за социално подпомагане. Д.В. бр. 133 от 11.11. 1998 г., изм. и доп. …, бр. 40 от  29. 04. 2003 г.</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Проданов</w:t>
      </w:r>
      <w:r>
        <w:rPr/>
        <w:t>, Г. Формиране на здравословен стил на живот у ученици от 3.-4. клас. Дис., С. 2003.</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Рыбалко</w:t>
      </w:r>
      <w:r>
        <w:rPr/>
        <w:t>, Е.Ф. Возрастная и дифференциальная психология. Л., 1990.</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Скотт</w:t>
      </w:r>
      <w:r>
        <w:rPr/>
        <w:t>, Д. Конфликты, пути их преодоления. Киев, 1991.</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Спасов</w:t>
      </w:r>
      <w:r>
        <w:rPr/>
        <w:t>, К. Управление на човешките ресурси. С., 1999.</w:t>
      </w:r>
    </w:p>
    <w:p>
      <w:pPr>
        <w:pStyle w:val="Normal"/>
        <w:numPr>
          <w:ilvl w:val="0"/>
          <w:numId w:val="75"/>
        </w:numPr>
        <w:tabs>
          <w:tab w:val="clear" w:pos="284"/>
          <w:tab w:val="right" w:pos="567" w:leader="none"/>
          <w:tab w:val="right" w:pos="851" w:leader="none"/>
        </w:tabs>
        <w:spacing w:lineRule="auto" w:line="240" w:before="0" w:after="120"/>
        <w:ind w:left="567" w:hanging="567"/>
        <w:rPr/>
      </w:pPr>
      <w:r>
        <w:rPr/>
        <w:t>Статистически справочник. С., 2004.</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Стойнев</w:t>
      </w:r>
      <w:r>
        <w:rPr/>
        <w:t>, Г. Да забравим старостта. С., 1970.</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Стойнев</w:t>
      </w:r>
      <w:r>
        <w:rPr/>
        <w:t>, Г. Дълголетие и старост. С., 1969.</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Стойнев</w:t>
      </w:r>
      <w:r>
        <w:rPr/>
        <w:t>, Г. Дълголетието е достижимо. С., 1972.</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Стойнев</w:t>
      </w:r>
      <w:r>
        <w:rPr/>
        <w:t>, Г. Защо се остарява преждевременно. С., 1966.</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Стойнев</w:t>
      </w:r>
      <w:r>
        <w:rPr/>
        <w:t>, Г. Изследвания на столетниците в България. С., 1972.</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Стойнев</w:t>
      </w:r>
      <w:r>
        <w:rPr/>
        <w:t>, Г. Път към дълголетие. С., 1969.</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Стойнев</w:t>
      </w:r>
      <w:r>
        <w:rPr/>
        <w:t>, Г. Социална геронтология. С., Мед. и физк., 1986.</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Стойнев,</w:t>
      </w:r>
      <w:r>
        <w:rPr/>
        <w:t xml:space="preserve"> Г. Старост и болест. С., 1987.</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Стойнев</w:t>
      </w:r>
      <w:r>
        <w:rPr/>
        <w:t>, Г., Цв. Дойчинова и Ст. Визев. Продължителност на живота след пенсиониране. С., 1971.</w:t>
      </w:r>
    </w:p>
    <w:p>
      <w:pPr>
        <w:pStyle w:val="Normal"/>
        <w:numPr>
          <w:ilvl w:val="0"/>
          <w:numId w:val="75"/>
        </w:numPr>
        <w:tabs>
          <w:tab w:val="clear" w:pos="284"/>
          <w:tab w:val="right" w:pos="567" w:leader="none"/>
          <w:tab w:val="right" w:pos="851" w:leader="none"/>
        </w:tabs>
        <w:spacing w:lineRule="auto" w:line="240" w:before="0" w:after="120"/>
        <w:ind w:left="567" w:hanging="567"/>
        <w:rPr/>
      </w:pPr>
      <w:r>
        <w:rPr/>
        <w:t>Третата възраст. Под общата редакция на проф. Г. Йолов. С., 1982.</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Фролькис</w:t>
      </w:r>
      <w:r>
        <w:rPr/>
        <w:t>, В.В. Старение и биологические возможности организма. М., 1975.</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Цицерон</w:t>
      </w:r>
      <w:r>
        <w:rPr/>
        <w:t>. О старости, о дружбе, об обязаностях. М., 1974.</w:t>
      </w:r>
    </w:p>
    <w:p>
      <w:pPr>
        <w:pStyle w:val="Normal"/>
        <w:numPr>
          <w:ilvl w:val="0"/>
          <w:numId w:val="75"/>
        </w:numPr>
        <w:tabs>
          <w:tab w:val="clear" w:pos="284"/>
          <w:tab w:val="right" w:pos="567" w:leader="none"/>
          <w:tab w:val="right" w:pos="851" w:leader="none"/>
        </w:tabs>
        <w:spacing w:lineRule="auto" w:line="240" w:before="0" w:after="120"/>
        <w:ind w:left="567" w:hanging="567"/>
        <w:rPr>
          <w:lang w:val="en-US"/>
        </w:rPr>
      </w:pPr>
      <w:r>
        <w:rPr>
          <w:lang w:val="en-US"/>
        </w:rPr>
        <w:t>Човекът е създаден да живее над 150 години, но при други условия. В-к “Доктор” от 9-16 август 2004.</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Шапиро</w:t>
      </w:r>
      <w:r>
        <w:rPr/>
        <w:t>, В.Д. Человек в пенсии. М., 1980.</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Шийхи</w:t>
      </w:r>
      <w:r>
        <w:rPr/>
        <w:t>, Гейл. Преходи. Кибел, 1999.</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Эриксон</w:t>
      </w:r>
      <w:r>
        <w:rPr/>
        <w:t>, Э.Идентичность: юность и кризис. М., 1996.</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Baltes</w:t>
      </w:r>
      <w:r>
        <w:rPr/>
        <w:t>, P.B. Longitydinal and cross-sectional sequences in the study of age and generation effect. – “Jurnal Human Development”, 1968, № 11, р. 145-171.</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Birren</w:t>
      </w:r>
      <w:r>
        <w:rPr/>
        <w:t>, J.E. The psychology of aging. Engelewood Cliffs, New Jersey, Prentice-Nall, 1964.</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Botwinick</w:t>
      </w:r>
      <w:r>
        <w:rPr/>
        <w:t>, J. Cognitive process in maturity and old age. New York, Springer, 1967.</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Botwinick</w:t>
      </w:r>
      <w:r>
        <w:rPr/>
        <w:t>, J. Aging and behavior. New York, Springer, 1973.</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Butler</w:t>
      </w:r>
      <w:r>
        <w:rPr/>
        <w:t>, R.N. Ageism. – In: Comptehensive textbook of psychiatry, vol. 2, Baltimore, Williams &amp; Wilkins, 1976.</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Cohen</w:t>
      </w:r>
      <w:r>
        <w:rPr/>
        <w:t xml:space="preserve">, G. Memory in the real word.  Hillsdale, NJ. Eibaum, 1989. </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Costa</w:t>
      </w:r>
      <w:r>
        <w:rPr/>
        <w:t>, P., McCrae, R. Trait psychology comes of age. – In: Psychology and aging ebraska, 1992.</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Cumming</w:t>
      </w:r>
      <w:r>
        <w:rPr/>
        <w:t>, E., Henry W. Growing old-the process of disengagement. New York, 1961.</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Eisdorfer</w:t>
      </w:r>
      <w:r>
        <w:rPr/>
        <w:t>, C., M. Powell Lawton. The psychology of adult development and aging. Washington, American Psichological Association, 1973.</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Kausler</w:t>
      </w:r>
      <w:r>
        <w:rPr/>
        <w:t>, D.H. Experimental psychology and aging. New York: Wiley, 1991.</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Korenchevsky</w:t>
      </w:r>
      <w:r>
        <w:rPr/>
        <w:t>, V. Psychological and pathological aging. New York, Hafner, 1961.</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L´Ecuyer</w:t>
      </w:r>
      <w:r>
        <w:rPr/>
        <w:t>, R. Le concept  de soi. Paris, 1978.</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Neugarten,</w:t>
      </w:r>
      <w:r>
        <w:rPr/>
        <w:t xml:space="preserve"> B. L. Personality in the middle and late life. New York, Atterto press, 1964.</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Peterson</w:t>
      </w:r>
      <w:r>
        <w:rPr/>
        <w:t>, J. A., B.P. Payne. Love in later years. The emotional, physical, sexual and social potential of the elderly. New York, Association Press, 1975.</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Pratt</w:t>
      </w:r>
      <w:r>
        <w:rPr/>
        <w:t xml:space="preserve">, M. , J. Norris.The Social Psychology of Aging. Massachusetts, 1994.  </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Savage</w:t>
      </w:r>
      <w:r>
        <w:rPr/>
        <w:t>, R. D. et al. Personality and adjustment in the aged. London, Academic Press, 1977.</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Schaie</w:t>
      </w:r>
      <w:r>
        <w:rPr/>
        <w:t>, K. W. A general model for the study of developmental problems. – “Psychologikal Bulletin”, v. 64, N 2, 1965.</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Schaie</w:t>
      </w:r>
      <w:r>
        <w:rPr/>
        <w:t>, K.W. \Ed.\ Longitudinal studies of adult psychological development. New York, 1983.</w:t>
      </w:r>
    </w:p>
    <w:p>
      <w:pPr>
        <w:pStyle w:val="Normal"/>
        <w:numPr>
          <w:ilvl w:val="0"/>
          <w:numId w:val="75"/>
        </w:numPr>
        <w:tabs>
          <w:tab w:val="clear" w:pos="284"/>
          <w:tab w:val="right" w:pos="567" w:leader="none"/>
          <w:tab w:val="right" w:pos="851" w:leader="none"/>
        </w:tabs>
        <w:spacing w:lineRule="auto" w:line="240" w:before="0" w:after="120"/>
        <w:ind w:left="567" w:hanging="567"/>
        <w:rPr/>
      </w:pPr>
      <w:r>
        <w:rPr>
          <w:b/>
        </w:rPr>
        <w:t>Welford</w:t>
      </w:r>
      <w:r>
        <w:rPr/>
        <w:t>, A. T. Aging and human skill. London, Oxford University Press, 1958.</w:t>
      </w:r>
    </w:p>
    <w:p>
      <w:pPr>
        <w:pStyle w:val="Normal"/>
        <w:numPr>
          <w:ilvl w:val="0"/>
          <w:numId w:val="75"/>
        </w:numPr>
        <w:tabs>
          <w:tab w:val="clear" w:pos="284"/>
          <w:tab w:val="right" w:pos="567" w:leader="none"/>
          <w:tab w:val="right" w:pos="851" w:leader="none"/>
        </w:tabs>
        <w:spacing w:lineRule="auto" w:line="240" w:before="0" w:after="120"/>
        <w:ind w:left="567" w:hanging="567"/>
        <w:rPr>
          <w:lang w:val="en-US"/>
        </w:rPr>
      </w:pPr>
      <w:r>
        <w:rPr>
          <w:b/>
        </w:rPr>
        <w:t>Winter</w:t>
      </w:r>
      <w:r>
        <w:rPr/>
        <w:t>, K. Soziologie für Mediziner. Berlin, 1973. S. 114.</w:t>
      </w:r>
    </w:p>
    <w:p>
      <w:pPr>
        <w:pStyle w:val="Heading1"/>
        <w:spacing w:before="5400" w:after="280"/>
        <w:rPr/>
      </w:pPr>
      <w:bookmarkStart w:id="40" w:name="__RefHeading___Toc89859700"/>
      <w:bookmarkEnd w:id="40"/>
      <w:r>
        <w:rPr/>
        <w:t>Приложения</w:t>
      </w:r>
    </w:p>
    <w:p>
      <w:pPr>
        <w:sectPr>
          <w:footerReference w:type="default" r:id="rId10"/>
          <w:footerReference w:type="first" r:id="rId11"/>
          <w:type w:val="nextPage"/>
          <w:pgSz w:w="11906" w:h="16838"/>
          <w:pgMar w:left="1588" w:right="1588" w:header="0" w:top="1588" w:footer="1134" w:bottom="1588" w:gutter="0"/>
          <w:pgNumType w:fmt="decimal"/>
          <w:formProt w:val="false"/>
          <w:titlePg/>
          <w:textDirection w:val="lrTb"/>
          <w:docGrid w:type="default" w:linePitch="286" w:charSpace="0"/>
        </w:sectPr>
        <w:pStyle w:val="NormalText"/>
        <w:rPr>
          <w:lang w:val="en-US"/>
        </w:rPr>
      </w:pPr>
      <w:r>
        <w:rPr>
          <w:lang w:val="en-US"/>
        </w:rPr>
      </w:r>
    </w:p>
    <w:p>
      <w:pPr>
        <w:pStyle w:val="Figura"/>
        <w:rPr/>
      </w:pPr>
      <w:r>
        <w:rPr/>
        <w:drawing>
          <wp:inline distT="0" distB="0" distL="0" distR="0">
            <wp:extent cx="5542280" cy="6160770"/>
            <wp:effectExtent l="0" t="0" r="0" b="0"/>
            <wp:docPr id="5"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 descr=""/>
                    <pic:cNvPicPr>
                      <a:picLocks noChangeAspect="1" noChangeArrowheads="1"/>
                    </pic:cNvPicPr>
                  </pic:nvPicPr>
                  <pic:blipFill>
                    <a:blip r:embed="rId12"/>
                    <a:srcRect l="-6" t="-6" r="-6" b="-6"/>
                    <a:stretch>
                      <a:fillRect/>
                    </a:stretch>
                  </pic:blipFill>
                  <pic:spPr bwMode="auto">
                    <a:xfrm>
                      <a:off x="0" y="0"/>
                      <a:ext cx="5542280" cy="6160770"/>
                    </a:xfrm>
                    <a:prstGeom prst="rect">
                      <a:avLst/>
                    </a:prstGeom>
                  </pic:spPr>
                </pic:pic>
              </a:graphicData>
            </a:graphic>
          </wp:inline>
        </w:drawing>
      </w:r>
    </w:p>
    <w:p>
      <w:pPr>
        <w:pStyle w:val="Figura"/>
        <w:rPr>
          <w:lang w:val="en-US"/>
        </w:rPr>
      </w:pPr>
      <w:r>
        <w:rPr>
          <w:lang w:val="en-US"/>
        </w:rPr>
        <w:drawing>
          <wp:inline distT="0" distB="0" distL="0" distR="0">
            <wp:extent cx="5542915" cy="7463790"/>
            <wp:effectExtent l="0" t="0" r="0" b="0"/>
            <wp:docPr id="6"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 descr=""/>
                    <pic:cNvPicPr>
                      <a:picLocks noChangeAspect="1" noChangeArrowheads="1"/>
                    </pic:cNvPicPr>
                  </pic:nvPicPr>
                  <pic:blipFill>
                    <a:blip r:embed="rId13"/>
                    <a:srcRect l="-5" t="-4" r="-5" b="-4"/>
                    <a:stretch>
                      <a:fillRect/>
                    </a:stretch>
                  </pic:blipFill>
                  <pic:spPr bwMode="auto">
                    <a:xfrm>
                      <a:off x="0" y="0"/>
                      <a:ext cx="5542915" cy="7463790"/>
                    </a:xfrm>
                    <a:prstGeom prst="rect">
                      <a:avLst/>
                    </a:prstGeom>
                  </pic:spPr>
                </pic:pic>
              </a:graphicData>
            </a:graphic>
          </wp:inline>
        </w:drawing>
      </w:r>
    </w:p>
    <w:p>
      <w:pPr>
        <w:pStyle w:val="Figura"/>
        <w:rPr/>
      </w:pPr>
      <w:r>
        <w:rPr/>
        <w:drawing>
          <wp:inline distT="0" distB="0" distL="0" distR="0">
            <wp:extent cx="914400" cy="914400"/>
            <wp:effectExtent l="0" t="0" r="0" b="0"/>
            <wp:docPr id="7"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3" descr=""/>
                    <pic:cNvPicPr>
                      <a:picLocks noChangeAspect="1" noChangeArrowheads="1"/>
                    </pic:cNvPicPr>
                  </pic:nvPicPr>
                  <pic:blipFill>
                    <a:blip r:embed="rId14"/>
                    <a:stretch>
                      <a:fillRect/>
                    </a:stretch>
                  </pic:blipFill>
                  <pic:spPr bwMode="auto">
                    <a:xfrm>
                      <a:off x="0" y="0"/>
                      <a:ext cx="914400" cy="914400"/>
                    </a:xfrm>
                    <a:prstGeom prst="rect">
                      <a:avLst/>
                    </a:prstGeom>
                  </pic:spPr>
                </pic:pic>
              </a:graphicData>
            </a:graphic>
          </wp:inline>
        </w:drawing>
      </w:r>
    </w:p>
    <w:p>
      <w:pPr>
        <w:pStyle w:val="Figura"/>
        <w:rPr/>
      </w:pPr>
      <w:r>
        <w:rPr/>
        <w:drawing>
          <wp:inline distT="0" distB="0" distL="0" distR="0">
            <wp:extent cx="914400" cy="914400"/>
            <wp:effectExtent l="0" t="0" r="0" b="0"/>
            <wp:docPr id="8"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 descr=""/>
                    <pic:cNvPicPr>
                      <a:picLocks noChangeAspect="1" noChangeArrowheads="1"/>
                    </pic:cNvPicPr>
                  </pic:nvPicPr>
                  <pic:blipFill>
                    <a:blip r:embed="rId15"/>
                    <a:stretch>
                      <a:fillRect/>
                    </a:stretch>
                  </pic:blipFill>
                  <pic:spPr bwMode="auto">
                    <a:xfrm>
                      <a:off x="0" y="0"/>
                      <a:ext cx="914400" cy="914400"/>
                    </a:xfrm>
                    <a:prstGeom prst="rect">
                      <a:avLst/>
                    </a:prstGeom>
                  </pic:spPr>
                </pic:pic>
              </a:graphicData>
            </a:graphic>
          </wp:inline>
        </w:drawing>
      </w:r>
    </w:p>
    <w:p>
      <w:pPr>
        <w:pStyle w:val="NormalText"/>
        <w:rPr/>
      </w:pPr>
      <w:r>
        <w:rPr/>
      </w:r>
    </w:p>
    <w:p>
      <w:pPr>
        <w:pStyle w:val="NormalText"/>
        <w:rPr/>
      </w:pPr>
      <w:r>
        <w:rPr/>
      </w:r>
    </w:p>
    <w:p>
      <w:pPr>
        <w:pStyle w:val="NormalText"/>
        <w:rPr/>
      </w:pPr>
      <w:r>
        <w:rPr/>
      </w:r>
    </w:p>
    <w:p>
      <w:pPr>
        <w:pStyle w:val="NormalText"/>
        <w:rPr/>
      </w:pPr>
      <w:r>
        <w:rPr/>
      </w:r>
      <w:r>
        <w:br w:type="page"/>
      </w:r>
    </w:p>
    <w:p>
      <w:pPr>
        <w:pStyle w:val="Figura"/>
        <w:rPr/>
      </w:pPr>
      <w:r>
        <w:rPr/>
        <w:drawing>
          <wp:inline distT="0" distB="0" distL="0" distR="0">
            <wp:extent cx="914400" cy="914400"/>
            <wp:effectExtent l="0" t="0" r="0" b="0"/>
            <wp:docPr id="9" name="Imag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 descr=""/>
                    <pic:cNvPicPr>
                      <a:picLocks noChangeAspect="1" noChangeArrowheads="1"/>
                    </pic:cNvPicPr>
                  </pic:nvPicPr>
                  <pic:blipFill>
                    <a:blip r:embed="rId16"/>
                    <a:stretch>
                      <a:fillRect/>
                    </a:stretch>
                  </pic:blipFill>
                  <pic:spPr bwMode="auto">
                    <a:xfrm>
                      <a:off x="0" y="0"/>
                      <a:ext cx="914400" cy="914400"/>
                    </a:xfrm>
                    <a:prstGeom prst="rect">
                      <a:avLst/>
                    </a:prstGeom>
                  </pic:spPr>
                </pic:pic>
              </a:graphicData>
            </a:graphic>
          </wp:inline>
        </w:drawing>
      </w:r>
    </w:p>
    <w:p>
      <w:pPr>
        <w:pStyle w:val="Figura"/>
        <w:rPr/>
      </w:pPr>
      <w:r>
        <w:rPr/>
        <w:drawing>
          <wp:inline distT="0" distB="0" distL="0" distR="0">
            <wp:extent cx="914400" cy="914400"/>
            <wp:effectExtent l="0" t="0" r="0" b="0"/>
            <wp:docPr id="10" name="Image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6" descr=""/>
                    <pic:cNvPicPr>
                      <a:picLocks noChangeAspect="1" noChangeArrowheads="1"/>
                    </pic:cNvPicPr>
                  </pic:nvPicPr>
                  <pic:blipFill>
                    <a:blip r:embed="rId17"/>
                    <a:stretch>
                      <a:fillRect/>
                    </a:stretch>
                  </pic:blipFill>
                  <pic:spPr bwMode="auto">
                    <a:xfrm>
                      <a:off x="0" y="0"/>
                      <a:ext cx="914400" cy="914400"/>
                    </a:xfrm>
                    <a:prstGeom prst="rect">
                      <a:avLst/>
                    </a:prstGeom>
                  </pic:spPr>
                </pic:pic>
              </a:graphicData>
            </a:graphic>
          </wp:inline>
        </w:drawing>
      </w:r>
    </w:p>
    <w:p>
      <w:pPr>
        <w:pStyle w:val="Figura"/>
        <w:rPr/>
      </w:pPr>
      <w:r>
        <w:rPr/>
        <w:drawing>
          <wp:inline distT="0" distB="0" distL="0" distR="0">
            <wp:extent cx="914400" cy="914400"/>
            <wp:effectExtent l="0" t="0" r="0" b="0"/>
            <wp:docPr id="11" name="Image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7" descr=""/>
                    <pic:cNvPicPr>
                      <a:picLocks noChangeAspect="1" noChangeArrowheads="1"/>
                    </pic:cNvPicPr>
                  </pic:nvPicPr>
                  <pic:blipFill>
                    <a:blip r:embed="rId18"/>
                    <a:stretch>
                      <a:fillRect/>
                    </a:stretch>
                  </pic:blipFill>
                  <pic:spPr bwMode="auto">
                    <a:xfrm>
                      <a:off x="0" y="0"/>
                      <a:ext cx="914400" cy="914400"/>
                    </a:xfrm>
                    <a:prstGeom prst="rect">
                      <a:avLst/>
                    </a:prstGeom>
                  </pic:spPr>
                </pic:pic>
              </a:graphicData>
            </a:graphic>
          </wp:inline>
        </w:drawing>
      </w:r>
    </w:p>
    <w:p>
      <w:pPr>
        <w:pStyle w:val="Figura"/>
        <w:rPr/>
      </w:pPr>
      <w:r>
        <w:rPr/>
        <w:t xml:space="preserve"> </w:t>
      </w:r>
    </w:p>
    <w:sectPr>
      <w:footerReference w:type="default" r:id="rId19"/>
      <w:type w:val="nextPage"/>
      <w:pgSz w:w="11906" w:h="16838"/>
      <w:pgMar w:left="1588" w:right="1588" w:header="0" w:top="1588" w:footer="1134" w:bottom="1588" w:gutter="0"/>
      <w:pgNumType w:fmt="decimal"/>
      <w:formProt w:val="false"/>
      <w:textDirection w:val="lrTb"/>
      <w:docGrid w:type="default" w:linePitch="28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Tahoma">
    <w:charset w:val="cc"/>
    <w:family w:val="swiss"/>
    <w:pitch w:val="variable"/>
  </w:font>
  <w:font w:name="Courier New">
    <w:charset w:val="cc"/>
    <w:family w:val="modern"/>
    <w:pitch w:val="default"/>
  </w:font>
  <w:font w:name="Wingdings">
    <w:charset w:val="02"/>
    <w:family w:val="auto"/>
    <w:pitch w:val="variable"/>
  </w:font>
  <w:font w:name="Arial">
    <w:charset w:val="cc"/>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ind w:right="360" w:firstLine="360"/>
      <w:rPr/>
    </w:pPr>
    <w:r>
      <w:rPr/>
    </w:r>
    <w:r>
      <mc:AlternateContent>
        <mc:Choice Requires="wps">
          <w:drawing>
            <wp:anchor behindDoc="0" distT="0" distB="0" distL="0" distR="0" simplePos="0" locked="0" layoutInCell="1" allowOverlap="1" relativeHeight="10">
              <wp:simplePos x="0" y="0"/>
              <wp:positionH relativeFrom="margin">
                <wp:align>right</wp:align>
              </wp:positionH>
              <wp:positionV relativeFrom="paragraph">
                <wp:posOffset>635</wp:posOffset>
              </wp:positionV>
              <wp:extent cx="76835" cy="175260"/>
              <wp:effectExtent l="0" t="0" r="0" b="0"/>
              <wp:wrapSquare wrapText="largest"/>
              <wp:docPr id="1" name="Frame1"/>
              <a:graphic xmlns:a="http://schemas.openxmlformats.org/drawingml/2006/main">
                <a:graphicData uri="http://schemas.microsoft.com/office/word/2010/wordprocessingShape">
                  <wps:wsp>
                    <wps:cNvSpPr txBox="1"/>
                    <wps:spPr>
                      <a:xfrm>
                        <a:off x="0" y="0"/>
                        <a:ext cx="76835" cy="175260"/>
                      </a:xfrm>
                      <a:prstGeom prst="rect"/>
                      <a:solidFill>
                        <a:srgbClr val="FFFFFF">
                          <a:alpha val="0"/>
                        </a:srgbClr>
                      </a:solidFill>
                    </wps:spPr>
                    <wps:txbx>
                      <w:txbxContent>
                        <w:p>
                          <w:pPr>
                            <w:pStyle w:val="Footer"/>
                            <w:rPr>
                              <w:rStyle w:val="PageNumber"/>
                            </w:rPr>
                          </w:pPr>
                          <w:r>
                            <w:rPr>
                              <w:rStyle w:val="PageNumber"/>
                            </w:rPr>
                            <w:fldChar w:fldCharType="begin"/>
                          </w:r>
                          <w:r>
                            <w:rPr>
                              <w:rStyle w:val="PageNumber"/>
                            </w:rPr>
                            <w:instrText> PAGE </w:instrText>
                          </w:r>
                          <w:r>
                            <w:rPr>
                              <w:rStyle w:val="PageNumber"/>
                            </w:rPr>
                            <w:fldChar w:fldCharType="separate"/>
                          </w:r>
                          <w:r>
                            <w:rPr>
                              <w:rStyle w:val="PageNumber"/>
                            </w:rPr>
                            <w:t>2</w:t>
                          </w:r>
                          <w:r>
                            <w:rPr>
                              <w:rStyle w:val="PageNumber"/>
                            </w:rPr>
                            <w:fldChar w:fldCharType="end"/>
                          </w:r>
                        </w:p>
                      </w:txbxContent>
                    </wps:txbx>
                    <wps:bodyPr anchor="t" lIns="0" tIns="0" rIns="0" bIns="0">
                      <a:noAutofit/>
                    </wps:bodyPr>
                  </wps:wsp>
                </a:graphicData>
              </a:graphic>
            </wp:anchor>
          </w:drawing>
        </mc:Choice>
        <mc:Fallback>
          <w:pict>
            <v:rect fillcolor="#FFFFFF" style="position:absolute;rotation:0;width:6.05pt;height:13.8pt;mso-wrap-distance-left:0pt;mso-wrap-distance-right:0pt;mso-wrap-distance-top:0pt;mso-wrap-distance-bottom:0pt;margin-top:0.05pt;mso-position-vertical-relative:text;margin-left:0pt;mso-position-horizontal:outside;mso-position-horizontal-relative:margin">
              <v:fill opacity="0f"/>
              <v:textbox inset="0in,0in,0in,0in">
                <w:txbxContent>
                  <w:p>
                    <w:pPr>
                      <w:pStyle w:val="Footer"/>
                      <w:rPr>
                        <w:rStyle w:val="PageNumber"/>
                      </w:rPr>
                    </w:pPr>
                    <w:r>
                      <w:rPr>
                        <w:rStyle w:val="PageNumber"/>
                      </w:rPr>
                      <w:fldChar w:fldCharType="begin"/>
                    </w:r>
                    <w:r>
                      <w:rPr>
                        <w:rStyle w:val="PageNumber"/>
                      </w:rPr>
                      <w:instrText> PAGE </w:instrText>
                    </w:r>
                    <w:r>
                      <w:rPr>
                        <w:rStyle w:val="PageNumber"/>
                      </w:rPr>
                      <w:fldChar w:fldCharType="separate"/>
                    </w:r>
                    <w:r>
                      <w:rPr>
                        <w:rStyle w:val="PageNumber"/>
                      </w:rPr>
                      <w:t>2</w:t>
                    </w:r>
                    <w:r>
                      <w:rPr>
                        <w:rStyle w:val="PageNumber"/>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ind w:right="360" w:firstLine="360"/>
      <w:rPr/>
    </w:pPr>
    <w:r>
      <w:rPr/>
    </w:r>
    <w:r>
      <mc:AlternateContent>
        <mc:Choice Requires="wps">
          <w:drawing>
            <wp:anchor behindDoc="0" distT="0" distB="0" distL="0" distR="0" simplePos="0" locked="0" layoutInCell="1" allowOverlap="1" relativeHeight="0">
              <wp:simplePos x="0" y="0"/>
              <wp:positionH relativeFrom="margin">
                <wp:align>right</wp:align>
              </wp:positionH>
              <wp:positionV relativeFrom="paragraph">
                <wp:posOffset>635</wp:posOffset>
              </wp:positionV>
              <wp:extent cx="88900" cy="20955"/>
              <wp:effectExtent l="0" t="0" r="0" b="0"/>
              <wp:wrapSquare wrapText="largest"/>
              <wp:docPr id="2" name="Frame2"/>
              <a:graphic xmlns:a="http://schemas.openxmlformats.org/drawingml/2006/main">
                <a:graphicData uri="http://schemas.microsoft.com/office/word/2010/wordprocessingShape">
                  <wps:wsp>
                    <wps:cNvSpPr txBox="1"/>
                    <wps:spPr>
                      <a:xfrm>
                        <a:off x="0" y="0"/>
                        <a:ext cx="88900" cy="20955"/>
                      </a:xfrm>
                      <a:prstGeom prst="rect"/>
                      <a:solidFill>
                        <a:srgbClr val="FFFFFF">
                          <a:alpha val="0"/>
                        </a:srgbClr>
                      </a:solidFill>
                    </wps:spPr>
                    <wps:txbx>
                      <w:txbxContent>
                        <w:p>
                          <w:pPr>
                            <w:pStyle w:val="Footer"/>
                            <w:rPr/>
                          </w:pPr>
                          <w:r>
                            <w:rPr>
                              <w:rStyle w:val="PageNumber"/>
                            </w:rPr>
                            <w:fldChar w:fldCharType="begin"/>
                          </w:r>
                          <w:r>
                            <w:rPr>
                              <w:rStyle w:val="PageNumber"/>
                            </w:rPr>
                            <w:instrText> PAGE </w:instrText>
                          </w:r>
                          <w:r>
                            <w:rPr>
                              <w:rStyle w:val="PageNumber"/>
                            </w:rPr>
                            <w:fldChar w:fldCharType="separate"/>
                          </w:r>
                          <w:r>
                            <w:rPr>
                              <w:rStyle w:val="PageNumber"/>
                            </w:rPr>
                            <w:t>0</w:t>
                          </w:r>
                          <w:r>
                            <w:rPr>
                              <w:rStyle w:val="PageNumber"/>
                            </w:rPr>
                            <w:fldChar w:fldCharType="end"/>
                          </w:r>
                        </w:p>
                      </w:txbxContent>
                    </wps:txbx>
                    <wps:bodyPr anchor="t" lIns="0" tIns="0" rIns="0" bIns="0">
                      <a:noAutofit/>
                    </wps:bodyPr>
                  </wps:wsp>
                </a:graphicData>
              </a:graphic>
            </wp:anchor>
          </w:drawing>
        </mc:Choice>
        <mc:Fallback>
          <w:pict>
            <v:rect fillcolor="#FFFFFF" style="position:absolute;rotation:0;width:7pt;height:1.65pt;mso-wrap-distance-left:0pt;mso-wrap-distance-right:0pt;mso-wrap-distance-top:0pt;mso-wrap-distance-bottom:0pt;margin-top:0.05pt;mso-position-vertical-relative:text;margin-left:0pt;mso-position-horizontal:outside;mso-position-horizontal-relative:margin">
              <v:fill opacity="0f"/>
              <v:textbox inset="0in,0in,0in,0in">
                <w:txbxContent>
                  <w:p>
                    <w:pPr>
                      <w:pStyle w:val="Footer"/>
                      <w:rPr/>
                    </w:pPr>
                    <w:r>
                      <w:rPr>
                        <w:rStyle w:val="PageNumber"/>
                      </w:rPr>
                      <w:fldChar w:fldCharType="begin"/>
                    </w:r>
                    <w:r>
                      <w:rPr>
                        <w:rStyle w:val="PageNumber"/>
                      </w:rPr>
                      <w:instrText> PAGE </w:instrText>
                    </w:r>
                    <w:r>
                      <w:rPr>
                        <w:rStyle w:val="PageNumber"/>
                      </w:rPr>
                      <w:fldChar w:fldCharType="separate"/>
                    </w:r>
                    <w:r>
                      <w:rPr>
                        <w:rStyle w:val="PageNumber"/>
                      </w:rPr>
                      <w:t>0</w:t>
                    </w:r>
                    <w:r>
                      <w:rPr>
                        <w:rStyle w:val="PageNumber"/>
                      </w:rPr>
                      <w:fldChar w:fldCharType="end"/>
                    </w:r>
                  </w:p>
                </w:txbxContent>
              </v:textbox>
              <w10:wrap type="square" side="largest"/>
            </v:rect>
          </w:pict>
        </mc:Fallback>
      </mc:AlternateConten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ind w:right="360" w:firstLine="360"/>
      <w:rPr/>
    </w:pPr>
    <w:r>
      <w:rPr/>
    </w:r>
    <w:r>
      <mc:AlternateContent>
        <mc:Choice Requires="wps">
          <w:drawing>
            <wp:anchor behindDoc="0" distT="0" distB="0" distL="0" distR="0" simplePos="0" locked="0" layoutInCell="1" allowOverlap="1" relativeHeight="0">
              <wp:simplePos x="0" y="0"/>
              <wp:positionH relativeFrom="margin">
                <wp:align>right</wp:align>
              </wp:positionH>
              <wp:positionV relativeFrom="paragraph">
                <wp:posOffset>635</wp:posOffset>
              </wp:positionV>
              <wp:extent cx="88900" cy="20955"/>
              <wp:effectExtent l="0" t="0" r="0" b="0"/>
              <wp:wrapSquare wrapText="largest"/>
              <wp:docPr id="3" name="Frame3"/>
              <a:graphic xmlns:a="http://schemas.openxmlformats.org/drawingml/2006/main">
                <a:graphicData uri="http://schemas.microsoft.com/office/word/2010/wordprocessingShape">
                  <wps:wsp>
                    <wps:cNvSpPr txBox="1"/>
                    <wps:spPr>
                      <a:xfrm>
                        <a:off x="0" y="0"/>
                        <a:ext cx="88900" cy="20955"/>
                      </a:xfrm>
                      <a:prstGeom prst="rect"/>
                      <a:solidFill>
                        <a:srgbClr val="FFFFFF">
                          <a:alpha val="0"/>
                        </a:srgbClr>
                      </a:solidFill>
                    </wps:spPr>
                    <wps:txbx>
                      <w:txbxContent>
                        <w:p>
                          <w:pPr>
                            <w:pStyle w:val="Footer"/>
                            <w:rPr/>
                          </w:pPr>
                          <w:r>
                            <w:rPr>
                              <w:rStyle w:val="PageNumber"/>
                            </w:rPr>
                            <w:fldChar w:fldCharType="begin"/>
                          </w:r>
                          <w:r>
                            <w:rPr>
                              <w:rStyle w:val="PageNumber"/>
                            </w:rPr>
                            <w:instrText> PAGE </w:instrText>
                          </w:r>
                          <w:r>
                            <w:rPr>
                              <w:rStyle w:val="PageNumber"/>
                            </w:rPr>
                            <w:fldChar w:fldCharType="separate"/>
                          </w:r>
                          <w:r>
                            <w:rPr>
                              <w:rStyle w:val="PageNumber"/>
                            </w:rPr>
                            <w:t>0</w:t>
                          </w:r>
                          <w:r>
                            <w:rPr>
                              <w:rStyle w:val="PageNumber"/>
                            </w:rPr>
                            <w:fldChar w:fldCharType="end"/>
                          </w:r>
                        </w:p>
                      </w:txbxContent>
                    </wps:txbx>
                    <wps:bodyPr anchor="t" lIns="0" tIns="0" rIns="0" bIns="0">
                      <a:noAutofit/>
                    </wps:bodyPr>
                  </wps:wsp>
                </a:graphicData>
              </a:graphic>
            </wp:anchor>
          </w:drawing>
        </mc:Choice>
        <mc:Fallback>
          <w:pict>
            <v:rect fillcolor="#FFFFFF" style="position:absolute;rotation:0;width:7pt;height:1.65pt;mso-wrap-distance-left:0pt;mso-wrap-distance-right:0pt;mso-wrap-distance-top:0pt;mso-wrap-distance-bottom:0pt;margin-top:0.05pt;mso-position-vertical-relative:text;margin-left:0pt;mso-position-horizontal:outside;mso-position-horizontal-relative:margin">
              <v:fill opacity="0f"/>
              <v:textbox inset="0in,0in,0in,0in">
                <w:txbxContent>
                  <w:p>
                    <w:pPr>
                      <w:pStyle w:val="Footer"/>
                      <w:rPr/>
                    </w:pPr>
                    <w:r>
                      <w:rPr>
                        <w:rStyle w:val="PageNumber"/>
                      </w:rPr>
                      <w:fldChar w:fldCharType="begin"/>
                    </w:r>
                    <w:r>
                      <w:rPr>
                        <w:rStyle w:val="PageNumber"/>
                      </w:rPr>
                      <w:instrText> PAGE </w:instrText>
                    </w:r>
                    <w:r>
                      <w:rPr>
                        <w:rStyle w:val="PageNumber"/>
                      </w:rPr>
                      <w:fldChar w:fldCharType="separate"/>
                    </w:r>
                    <w:r>
                      <w:rPr>
                        <w:rStyle w:val="PageNumber"/>
                      </w:rPr>
                      <w:t>0</w:t>
                    </w:r>
                    <w:r>
                      <w:rPr>
                        <w:rStyle w:val="PageNumber"/>
                      </w:rPr>
                      <w:fldChar w:fldCharType="end"/>
                    </w:r>
                  </w:p>
                </w:txbxContent>
              </v:textbox>
              <w10:wrap type="square" side="largest"/>
            </v:rect>
          </w:pict>
        </mc:Fallback>
      </mc:AlternateContent>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ind w:right="360" w:firstLine="360"/>
      <w:rPr/>
    </w:pPr>
    <w:r>
      <w:rPr/>
    </w:r>
    <w:r>
      <mc:AlternateContent>
        <mc:Choice Requires="wps">
          <w:drawing>
            <wp:anchor behindDoc="0" distT="0" distB="0" distL="0" distR="0" simplePos="0" locked="0" layoutInCell="1" allowOverlap="1" relativeHeight="281">
              <wp:simplePos x="0" y="0"/>
              <wp:positionH relativeFrom="margin">
                <wp:align>right</wp:align>
              </wp:positionH>
              <wp:positionV relativeFrom="paragraph">
                <wp:posOffset>635</wp:posOffset>
              </wp:positionV>
              <wp:extent cx="229235" cy="175260"/>
              <wp:effectExtent l="0" t="0" r="0" b="0"/>
              <wp:wrapSquare wrapText="largest"/>
              <wp:docPr id="4" name="Frame4"/>
              <a:graphic xmlns:a="http://schemas.openxmlformats.org/drawingml/2006/main">
                <a:graphicData uri="http://schemas.microsoft.com/office/word/2010/wordprocessingShape">
                  <wps:wsp>
                    <wps:cNvSpPr txBox="1"/>
                    <wps:spPr>
                      <a:xfrm>
                        <a:off x="0" y="0"/>
                        <a:ext cx="229235" cy="175260"/>
                      </a:xfrm>
                      <a:prstGeom prst="rect"/>
                      <a:solidFill>
                        <a:srgbClr val="FFFFFF">
                          <a:alpha val="0"/>
                        </a:srgbClr>
                      </a:solidFill>
                    </wps:spPr>
                    <wps:txbx>
                      <w:txbxContent>
                        <w:p>
                          <w:pPr>
                            <w:pStyle w:val="Footer"/>
                            <w:rPr/>
                          </w:pPr>
                          <w:r>
                            <w:rPr>
                              <w:rStyle w:val="PageNumber"/>
                            </w:rPr>
                            <w:fldChar w:fldCharType="begin"/>
                          </w:r>
                          <w:r>
                            <w:rPr>
                              <w:rStyle w:val="PageNumber"/>
                            </w:rPr>
                            <w:instrText> PAGE </w:instrText>
                          </w:r>
                          <w:r>
                            <w:rPr>
                              <w:rStyle w:val="PageNumber"/>
                            </w:rPr>
                            <w:fldChar w:fldCharType="separate"/>
                          </w:r>
                          <w:r>
                            <w:rPr>
                              <w:rStyle w:val="PageNumber"/>
                            </w:rPr>
                            <w:t>276</w:t>
                          </w:r>
                          <w:r>
                            <w:rPr>
                              <w:rStyle w:val="PageNumber"/>
                            </w:rPr>
                            <w:fldChar w:fldCharType="end"/>
                          </w:r>
                        </w:p>
                      </w:txbxContent>
                    </wps:txbx>
                    <wps:bodyPr anchor="t" lIns="0" tIns="0" rIns="0" bIns="0">
                      <a:noAutofit/>
                    </wps:bodyPr>
                  </wps:wsp>
                </a:graphicData>
              </a:graphic>
            </wp:anchor>
          </w:drawing>
        </mc:Choice>
        <mc:Fallback>
          <w:pict>
            <v:rect fillcolor="#FFFFFF" style="position:absolute;rotation:0;width:18.05pt;height:13.8pt;mso-wrap-distance-left:0pt;mso-wrap-distance-right:0pt;mso-wrap-distance-top:0pt;mso-wrap-distance-bottom:0pt;margin-top:0.05pt;mso-position-vertical-relative:text;margin-left:0pt;mso-position-horizontal:outside;mso-position-horizontal-relative:margin">
              <v:fill opacity="0f"/>
              <v:textbox inset="0in,0in,0in,0in">
                <w:txbxContent>
                  <w:p>
                    <w:pPr>
                      <w:pStyle w:val="Footer"/>
                      <w:rPr/>
                    </w:pPr>
                    <w:r>
                      <w:rPr>
                        <w:rStyle w:val="PageNumber"/>
                      </w:rPr>
                      <w:fldChar w:fldCharType="begin"/>
                    </w:r>
                    <w:r>
                      <w:rPr>
                        <w:rStyle w:val="PageNumber"/>
                      </w:rPr>
                      <w:instrText> PAGE </w:instrText>
                    </w:r>
                    <w:r>
                      <w:rPr>
                        <w:rStyle w:val="PageNumber"/>
                      </w:rPr>
                      <w:fldChar w:fldCharType="separate"/>
                    </w:r>
                    <w:r>
                      <w:rPr>
                        <w:rStyle w:val="PageNumber"/>
                      </w:rPr>
                      <w:t>276</w:t>
                    </w:r>
                    <w:r>
                      <w:rPr>
                        <w:rStyle w:val="PageNumber"/>
                      </w:rPr>
                      <w:fldChar w:fldCharType="end"/>
                    </w:r>
                  </w:p>
                </w:txbxContent>
              </v:textbox>
              <w10:wrap type="square" side="largest"/>
            </v:rect>
          </w:pict>
        </mc:Fallback>
      </mc:AlternateContent>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ind w:right="360" w:firstLine="360"/>
      <w:rPr/>
    </w:pPr>
    <w:r>
      <w:rPr/>
    </w:r>
    <w:r>
      <mc:AlternateContent>
        <mc:Choice Requires="wps">
          <w:drawing>
            <wp:anchor behindDoc="0" distT="0" distB="0" distL="0" distR="0" simplePos="0" locked="0" layoutInCell="1" allowOverlap="1" relativeHeight="285">
              <wp:simplePos x="0" y="0"/>
              <wp:positionH relativeFrom="margin">
                <wp:align>right</wp:align>
              </wp:positionH>
              <wp:positionV relativeFrom="paragraph">
                <wp:posOffset>635</wp:posOffset>
              </wp:positionV>
              <wp:extent cx="229235" cy="175260"/>
              <wp:effectExtent l="0" t="0" r="0" b="0"/>
              <wp:wrapSquare wrapText="largest"/>
              <wp:docPr id="12" name="Frame5"/>
              <a:graphic xmlns:a="http://schemas.openxmlformats.org/drawingml/2006/main">
                <a:graphicData uri="http://schemas.microsoft.com/office/word/2010/wordprocessingShape">
                  <wps:wsp>
                    <wps:cNvSpPr txBox="1"/>
                    <wps:spPr>
                      <a:xfrm>
                        <a:off x="0" y="0"/>
                        <a:ext cx="229235" cy="175260"/>
                      </a:xfrm>
                      <a:prstGeom prst="rect"/>
                      <a:solidFill>
                        <a:srgbClr val="FFFFFF">
                          <a:alpha val="0"/>
                        </a:srgbClr>
                      </a:solidFill>
                    </wps:spPr>
                    <wps:txbx>
                      <w:txbxContent>
                        <w:p>
                          <w:pPr>
                            <w:pStyle w:val="Footer"/>
                            <w:rPr/>
                          </w:pPr>
                          <w:r>
                            <w:rPr>
                              <w:rStyle w:val="PageNumber"/>
                            </w:rPr>
                            <w:fldChar w:fldCharType="begin"/>
                          </w:r>
                          <w:r>
                            <w:rPr>
                              <w:rStyle w:val="PageNumber"/>
                            </w:rPr>
                            <w:instrText> PAGE </w:instrText>
                          </w:r>
                          <w:r>
                            <w:rPr>
                              <w:rStyle w:val="PageNumber"/>
                            </w:rPr>
                            <w:fldChar w:fldCharType="separate"/>
                          </w:r>
                          <w:r>
                            <w:rPr>
                              <w:rStyle w:val="PageNumber"/>
                            </w:rPr>
                            <w:t>280</w:t>
                          </w:r>
                          <w:r>
                            <w:rPr>
                              <w:rStyle w:val="PageNumber"/>
                            </w:rPr>
                            <w:fldChar w:fldCharType="end"/>
                          </w:r>
                        </w:p>
                      </w:txbxContent>
                    </wps:txbx>
                    <wps:bodyPr anchor="t" lIns="0" tIns="0" rIns="0" bIns="0">
                      <a:noAutofit/>
                    </wps:bodyPr>
                  </wps:wsp>
                </a:graphicData>
              </a:graphic>
            </wp:anchor>
          </w:drawing>
        </mc:Choice>
        <mc:Fallback>
          <w:pict>
            <v:rect fillcolor="#FFFFFF" style="position:absolute;rotation:0;width:18.05pt;height:13.8pt;mso-wrap-distance-left:0pt;mso-wrap-distance-right:0pt;mso-wrap-distance-top:0pt;mso-wrap-distance-bottom:0pt;margin-top:0.05pt;mso-position-vertical-relative:text;margin-left:0pt;mso-position-horizontal:outside;mso-position-horizontal-relative:margin">
              <v:fill opacity="0f"/>
              <v:textbox inset="0in,0in,0in,0in">
                <w:txbxContent>
                  <w:p>
                    <w:pPr>
                      <w:pStyle w:val="Footer"/>
                      <w:rPr/>
                    </w:pPr>
                    <w:r>
                      <w:rPr>
                        <w:rStyle w:val="PageNumber"/>
                      </w:rPr>
                      <w:fldChar w:fldCharType="begin"/>
                    </w:r>
                    <w:r>
                      <w:rPr>
                        <w:rStyle w:val="PageNumber"/>
                      </w:rPr>
                      <w:instrText> PAGE </w:instrText>
                    </w:r>
                    <w:r>
                      <w:rPr>
                        <w:rStyle w:val="PageNumber"/>
                      </w:rPr>
                      <w:fldChar w:fldCharType="separate"/>
                    </w:r>
                    <w:r>
                      <w:rPr>
                        <w:rStyle w:val="PageNumber"/>
                      </w:rPr>
                      <w:t>280</w:t>
                    </w:r>
                    <w:r>
                      <w:rPr>
                        <w:rStyle w:val="PageNumber"/>
                      </w:rPr>
                      <w:fldChar w:fldCharType="end"/>
                    </w:r>
                  </w:p>
                </w:txbxContent>
              </v:textbox>
              <w10:wrap type="square" side="largest"/>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decimal"/>
      <w:lvlText w:val="%1."/>
      <w:lvlJc w:val="left"/>
      <w:pPr>
        <w:tabs>
          <w:tab w:val="num" w:pos="420"/>
        </w:tabs>
        <w:ind w:left="420" w:hanging="360"/>
      </w:pPr>
      <w:rPr/>
    </w:lvl>
  </w:abstractNum>
  <w:abstractNum w:abstractNumId="3">
    <w:lvl w:ilvl="0">
      <w:start w:val="1"/>
      <w:numFmt w:val="decimal"/>
      <w:lvlText w:val="%1."/>
      <w:lvlJc w:val="left"/>
      <w:pPr>
        <w:tabs>
          <w:tab w:val="num" w:pos="360"/>
        </w:tabs>
        <w:ind w:left="360" w:hanging="360"/>
      </w:pPr>
      <w:rPr/>
    </w:lvl>
  </w:abstractNum>
  <w:abstractNum w:abstractNumId="4">
    <w:lvl w:ilvl="0">
      <w:start w:val="1"/>
      <w:numFmt w:val="bullet"/>
      <w:lvlText w:val=""/>
      <w:lvlJc w:val="left"/>
      <w:pPr>
        <w:tabs>
          <w:tab w:val="num" w:pos="928"/>
        </w:tabs>
        <w:ind w:left="928" w:hanging="360"/>
      </w:pPr>
      <w:rPr>
        <w:rFonts w:ascii="Symbol" w:hAnsi="Symbol" w:cs="Symbol" w:hint="default"/>
        <w:rFonts w:cs="Symbol"/>
      </w:rPr>
    </w:lvl>
  </w:abstractNum>
  <w:abstractNum w:abstractNumId="5">
    <w:lvl w:ilvl="0">
      <w:start w:val="1"/>
      <w:numFmt w:val="decimal"/>
      <w:lvlText w:val="%1)"/>
      <w:lvlJc w:val="left"/>
      <w:pPr>
        <w:tabs>
          <w:tab w:val="num" w:pos="456"/>
        </w:tabs>
        <w:ind w:left="456" w:hanging="396"/>
      </w:pPr>
      <w:rPr/>
    </w:lvl>
  </w:abstractNum>
  <w:abstractNum w:abstractNumId="6">
    <w:lvl w:ilvl="0">
      <w:start w:val="1"/>
      <w:numFmt w:val="bullet"/>
      <w:lvlText w:val=""/>
      <w:lvlJc w:val="left"/>
      <w:pPr>
        <w:tabs>
          <w:tab w:val="num" w:pos="360"/>
        </w:tabs>
        <w:ind w:left="360" w:hanging="360"/>
      </w:pPr>
      <w:rPr>
        <w:rFonts w:ascii="Wingdings" w:hAnsi="Wingdings" w:cs="Wingdings" w:hint="default"/>
        <w:rFonts w:cs="Wingdings"/>
        <w:lang w:val="bg-BG"/>
      </w:rPr>
    </w:lvl>
  </w:abstractNum>
  <w:abstractNum w:abstractNumId="7">
    <w:lvl w:ilvl="0">
      <w:start w:val="1"/>
      <w:numFmt w:val="bullet"/>
      <w:lvlText w:val=""/>
      <w:lvlJc w:val="left"/>
      <w:pPr>
        <w:tabs>
          <w:tab w:val="num" w:pos="360"/>
        </w:tabs>
        <w:ind w:left="360" w:hanging="360"/>
      </w:pPr>
      <w:rPr>
        <w:rFonts w:ascii="Wingdings" w:hAnsi="Wingdings" w:cs="Wingdings" w:hint="default"/>
        <w:rFonts w:cs="Wingdings"/>
      </w:rPr>
    </w:lvl>
  </w:abstractNum>
  <w:abstractNum w:abstractNumId="8">
    <w:lvl w:ilvl="0">
      <w:start w:val="1"/>
      <w:numFmt w:val="bullet"/>
      <w:lvlText w:val=""/>
      <w:lvlJc w:val="left"/>
      <w:pPr>
        <w:tabs>
          <w:tab w:val="num" w:pos="360"/>
        </w:tabs>
        <w:ind w:left="360" w:hanging="360"/>
      </w:pPr>
      <w:rPr>
        <w:rFonts w:ascii="Symbol" w:hAnsi="Symbol" w:cs="Symbol" w:hint="default"/>
        <w:rFonts w:cs="Symbol"/>
        <w:lang w:val="bg-BG"/>
      </w:rPr>
    </w:lvl>
  </w:abstractNum>
  <w:abstractNum w:abstractNumId="9">
    <w:lvl w:ilvl="0">
      <w:start w:val="1"/>
      <w:numFmt w:val="bullet"/>
      <w:lvlText w:val=""/>
      <w:lvlJc w:val="left"/>
      <w:pPr>
        <w:tabs>
          <w:tab w:val="num" w:pos="360"/>
        </w:tabs>
        <w:ind w:left="360" w:hanging="360"/>
      </w:pPr>
      <w:rPr>
        <w:rFonts w:ascii="Wingdings" w:hAnsi="Wingdings" w:cs="Wingdings" w:hint="default"/>
        <w:rFonts w:cs="Wingdings"/>
        <w:lang w:val="bg-BG"/>
      </w:rPr>
    </w:lvl>
  </w:abstractNum>
  <w:abstractNum w:abstractNumId="10">
    <w:lvl w:ilvl="0">
      <w:start w:val="1"/>
      <w:numFmt w:val="bullet"/>
      <w:lvlText w:val=""/>
      <w:lvlJc w:val="left"/>
      <w:pPr>
        <w:tabs>
          <w:tab w:val="num" w:pos="360"/>
        </w:tabs>
        <w:ind w:left="360" w:hanging="360"/>
      </w:pPr>
      <w:rPr>
        <w:rFonts w:ascii="Wingdings" w:hAnsi="Wingdings" w:cs="Wingdings" w:hint="default"/>
        <w:rFonts w:cs="Wingdings"/>
        <w:lang w:val="bg-BG"/>
      </w:rPr>
    </w:lvl>
  </w:abstractNum>
  <w:abstractNum w:abstractNumId="11">
    <w:lvl w:ilvl="0">
      <w:start w:val="1"/>
      <w:numFmt w:val="decimal"/>
      <w:lvlText w:val="%1."/>
      <w:lvlJc w:val="left"/>
      <w:pPr>
        <w:tabs>
          <w:tab w:val="num" w:pos="360"/>
        </w:tabs>
        <w:ind w:left="360" w:hanging="360"/>
      </w:pPr>
      <w:rPr/>
    </w:lvl>
  </w:abstractNum>
  <w:abstractNum w:abstractNumId="12">
    <w:lvl w:ilvl="0">
      <w:start w:val="1"/>
      <w:numFmt w:val="bullet"/>
      <w:lvlText w:val=""/>
      <w:lvlJc w:val="left"/>
      <w:pPr>
        <w:ind w:left="1701" w:hanging="283"/>
      </w:pPr>
      <w:rPr>
        <w:rFonts w:ascii="Symbol" w:hAnsi="Symbol" w:cs="Symbol" w:hint="default"/>
        <w:rFonts w:cs="Symbol"/>
      </w:rPr>
    </w:lvl>
  </w:abstractNum>
  <w:abstractNum w:abstractNumId="13">
    <w:lvl w:ilvl="0">
      <w:start w:val="1"/>
      <w:numFmt w:val="decimal"/>
      <w:lvlText w:val="%1."/>
      <w:lvlJc w:val="left"/>
      <w:pPr>
        <w:tabs>
          <w:tab w:val="num" w:pos="360"/>
        </w:tabs>
        <w:ind w:left="360" w:hanging="360"/>
      </w:pPr>
      <w:rPr/>
    </w:lvl>
  </w:abstractNum>
  <w:abstractNum w:abstractNumId="14">
    <w:lvl w:ilvl="0">
      <w:start w:val="1"/>
      <w:numFmt w:val="bullet"/>
      <w:lvlText w:val=""/>
      <w:lvlJc w:val="left"/>
      <w:pPr>
        <w:tabs>
          <w:tab w:val="num" w:pos="360"/>
        </w:tabs>
        <w:ind w:left="360" w:hanging="360"/>
      </w:pPr>
      <w:rPr>
        <w:rFonts w:ascii="Symbol" w:hAnsi="Symbol" w:cs="Symbol" w:hint="default"/>
        <w:rFonts w:cs="Symbol"/>
      </w:rPr>
    </w:lvl>
  </w:abstractNum>
  <w:abstractNum w:abstractNumId="15">
    <w:lvl w:ilvl="0">
      <w:start w:val="1"/>
      <w:numFmt w:val="decimal"/>
      <w:lvlText w:val="%1."/>
      <w:lvlJc w:val="left"/>
      <w:pPr>
        <w:tabs>
          <w:tab w:val="num" w:pos="540"/>
        </w:tabs>
        <w:ind w:left="540" w:hanging="540"/>
      </w:pPr>
      <w:rPr>
        <w:b/>
        <w:lang w:val="bg-BG"/>
      </w:rPr>
    </w:lvl>
  </w:abstractNum>
  <w:abstractNum w:abstractNumId="16">
    <w:lvl w:ilvl="0">
      <w:numFmt w:val="bullet"/>
      <w:lvlText w:val="-"/>
      <w:lvlJc w:val="left"/>
      <w:pPr>
        <w:tabs>
          <w:tab w:val="num" w:pos="720"/>
        </w:tabs>
        <w:ind w:left="720" w:hanging="360"/>
      </w:pPr>
      <w:rPr>
        <w:rFonts w:ascii="Liberation Serif" w:hAnsi="Liberation Serif" w:cs="Liberation Serif" w:hint="default"/>
        <w:lang w:val="en-US"/>
      </w:rPr>
    </w:lvl>
  </w:abstractNum>
  <w:abstractNum w:abstractNumId="17">
    <w:lvl w:ilvl="0">
      <w:start w:val="1"/>
      <w:numFmt w:val="bullet"/>
      <w:lvlText w:val=""/>
      <w:lvlJc w:val="left"/>
      <w:pPr>
        <w:tabs>
          <w:tab w:val="num" w:pos="1531"/>
        </w:tabs>
        <w:ind w:left="1531" w:hanging="567"/>
      </w:pPr>
      <w:rPr>
        <w:rFonts w:ascii="Symbol" w:hAnsi="Symbol" w:cs="Symbol" w:hint="default"/>
        <w:rFonts w:cs="Symbol"/>
      </w:rPr>
    </w:lvl>
  </w:abstractNum>
  <w:abstractNum w:abstractNumId="18">
    <w:lvl w:ilvl="0">
      <w:start w:val="1"/>
      <w:numFmt w:val="bullet"/>
      <w:lvlText w:val=""/>
      <w:lvlJc w:val="left"/>
      <w:pPr>
        <w:tabs>
          <w:tab w:val="num" w:pos="360"/>
        </w:tabs>
        <w:ind w:left="360" w:hanging="360"/>
      </w:pPr>
      <w:rPr>
        <w:rFonts w:ascii="Wingdings" w:hAnsi="Wingdings" w:cs="Wingdings" w:hint="default"/>
        <w:sz w:val="16"/>
        <w:rFonts w:cs="Wingdings"/>
        <w:lang w:val="bg-BG"/>
      </w:rPr>
    </w:lvl>
  </w:abstractNum>
  <w:abstractNum w:abstractNumId="19">
    <w:lvl w:ilvl="0">
      <w:start w:val="1"/>
      <w:numFmt w:val="bullet"/>
      <w:lvlText w:val=""/>
      <w:lvlJc w:val="left"/>
      <w:pPr>
        <w:tabs>
          <w:tab w:val="num" w:pos="360"/>
        </w:tabs>
        <w:ind w:left="360" w:hanging="360"/>
      </w:pPr>
      <w:rPr>
        <w:rFonts w:ascii="Wingdings" w:hAnsi="Wingdings" w:cs="Wingdings" w:hint="default"/>
        <w:rFonts w:cs="Wingdings"/>
      </w:rPr>
    </w:lvl>
  </w:abstractNum>
  <w:abstractNum w:abstractNumId="20">
    <w:lvl w:ilvl="0">
      <w:start w:val="1"/>
      <w:numFmt w:val="decimal"/>
      <w:lvlText w:val="%1."/>
      <w:lvlJc w:val="left"/>
      <w:pPr>
        <w:tabs>
          <w:tab w:val="num" w:pos="720"/>
        </w:tabs>
        <w:ind w:left="720" w:hanging="360"/>
      </w:pPr>
      <w:rPr/>
    </w:lvl>
  </w:abstractNum>
  <w:abstractNum w:abstractNumId="21">
    <w:lvl w:ilvl="0">
      <w:start w:val="1"/>
      <w:numFmt w:val="decimal"/>
      <w:lvlText w:val="%1."/>
      <w:lvlJc w:val="left"/>
      <w:pPr>
        <w:tabs>
          <w:tab w:val="num" w:pos="360"/>
        </w:tabs>
        <w:ind w:left="360" w:hanging="360"/>
      </w:pPr>
      <w:rPr/>
    </w:lvl>
  </w:abstractNum>
  <w:abstractNum w:abstractNumId="22">
    <w:lvl w:ilvl="0">
      <w:start w:val="1"/>
      <w:numFmt w:val="bullet"/>
      <w:lvlText w:val=""/>
      <w:lvlJc w:val="left"/>
      <w:pPr>
        <w:tabs>
          <w:tab w:val="num" w:pos="360"/>
        </w:tabs>
        <w:ind w:left="360" w:hanging="360"/>
      </w:pPr>
      <w:rPr>
        <w:rFonts w:ascii="Symbol" w:hAnsi="Symbol" w:cs="Symbol" w:hint="default"/>
        <w:rFonts w:cs="Symbol"/>
      </w:rPr>
    </w:lvl>
  </w:abstractNum>
  <w:abstractNum w:abstractNumId="23">
    <w:lvl w:ilvl="0">
      <w:start w:val="1"/>
      <w:numFmt w:val="bullet"/>
      <w:lvlText w:val=""/>
      <w:lvlJc w:val="left"/>
      <w:pPr>
        <w:tabs>
          <w:tab w:val="num" w:pos="360"/>
        </w:tabs>
        <w:ind w:left="360" w:hanging="360"/>
      </w:pPr>
      <w:rPr>
        <w:rFonts w:ascii="Symbol" w:hAnsi="Symbol" w:cs="Symbol" w:hint="default"/>
        <w:rFonts w:cs="Symbol"/>
        <w:lang w:val="bg-BG"/>
      </w:rPr>
    </w:lvl>
  </w:abstractNum>
  <w:abstractNum w:abstractNumId="24">
    <w:lvl w:ilvl="0">
      <w:start w:val="1"/>
      <w:numFmt w:val="decimal"/>
      <w:lvlText w:val="%1."/>
      <w:lvlJc w:val="left"/>
      <w:pPr>
        <w:tabs>
          <w:tab w:val="num" w:pos="420"/>
        </w:tabs>
        <w:ind w:left="420" w:hanging="360"/>
      </w:pPr>
      <w:rPr>
        <w:b w:val="false"/>
        <w:lang w:val="bg-BG"/>
      </w:rPr>
    </w:lvl>
  </w:abstractNum>
  <w:abstractNum w:abstractNumId="25">
    <w:lvl w:ilvl="0">
      <w:start w:val="1"/>
      <w:numFmt w:val="bullet"/>
      <w:lvlText w:val=""/>
      <w:lvlJc w:val="left"/>
      <w:pPr>
        <w:tabs>
          <w:tab w:val="num" w:pos="927"/>
        </w:tabs>
        <w:ind w:left="927" w:hanging="360"/>
      </w:pPr>
      <w:rPr>
        <w:rFonts w:ascii="Symbol" w:hAnsi="Symbol" w:cs="Symbol" w:hint="default"/>
        <w:rFonts w:cs="Times New Roman"/>
      </w:rPr>
    </w:lvl>
  </w:abstractNum>
  <w:abstractNum w:abstractNumId="26">
    <w:lvl w:ilvl="0">
      <w:start w:val="1"/>
      <w:numFmt w:val="decimal"/>
      <w:lvlText w:val="%1."/>
      <w:lvlJc w:val="left"/>
      <w:pPr>
        <w:tabs>
          <w:tab w:val="num" w:pos="360"/>
        </w:tabs>
        <w:ind w:left="360" w:hanging="360"/>
      </w:pPr>
      <w:rPr>
        <w:b w:val="false"/>
        <w:lang w:val="bg-BG"/>
      </w:rPr>
    </w:lvl>
  </w:abstractNum>
  <w:abstractNum w:abstractNumId="27">
    <w:lvl w:ilvl="0">
      <w:start w:val="1"/>
      <w:numFmt w:val="bullet"/>
      <w:lvlText w:val=""/>
      <w:lvlJc w:val="left"/>
      <w:pPr>
        <w:tabs>
          <w:tab w:val="num" w:pos="360"/>
        </w:tabs>
        <w:ind w:left="360" w:hanging="360"/>
      </w:pPr>
      <w:rPr>
        <w:rFonts w:ascii="Symbol" w:hAnsi="Symbol" w:cs="Symbol" w:hint="default"/>
        <w:sz w:val="24"/>
        <w:rFonts w:cs="Symbol"/>
        <w:lang w:val="bg-BG"/>
      </w:rPr>
    </w:lvl>
  </w:abstractNum>
  <w:abstractNum w:abstractNumId="28">
    <w:lvl w:ilvl="0">
      <w:start w:val="1"/>
      <w:numFmt w:val="decimal"/>
      <w:lvlText w:val="%1."/>
      <w:lvlJc w:val="left"/>
      <w:pPr>
        <w:tabs>
          <w:tab w:val="num" w:pos="1040"/>
        </w:tabs>
        <w:ind w:left="1040" w:hanging="360"/>
      </w:pPr>
      <w:rPr/>
    </w:lvl>
  </w:abstractNum>
  <w:abstractNum w:abstractNumId="29">
    <w:lvl w:ilvl="0">
      <w:start w:val="1"/>
      <w:numFmt w:val="bullet"/>
      <w:lvlText w:val=""/>
      <w:lvlJc w:val="left"/>
      <w:pPr>
        <w:tabs>
          <w:tab w:val="num" w:pos="927"/>
        </w:tabs>
        <w:ind w:left="927" w:hanging="360"/>
      </w:pPr>
      <w:rPr>
        <w:rFonts w:ascii="Symbol" w:hAnsi="Symbol" w:cs="Symbol" w:hint="default"/>
        <w:rFonts w:cs="Times New Roman"/>
      </w:rPr>
    </w:lvl>
  </w:abstractNum>
  <w:abstractNum w:abstractNumId="30">
    <w:lvl w:ilvl="0">
      <w:start w:val="1"/>
      <w:numFmt w:val="bullet"/>
      <w:lvlText w:val=""/>
      <w:lvlJc w:val="left"/>
      <w:pPr>
        <w:tabs>
          <w:tab w:val="num" w:pos="360"/>
        </w:tabs>
        <w:ind w:left="360" w:hanging="360"/>
      </w:pPr>
      <w:rPr>
        <w:rFonts w:ascii="Wingdings" w:hAnsi="Wingdings" w:cs="Wingdings" w:hint="default"/>
        <w:sz w:val="28"/>
        <w:rFonts w:cs="Times New Roman"/>
      </w:rPr>
    </w:lvl>
  </w:abstractNum>
  <w:abstractNum w:abstractNumId="31">
    <w:lvl w:ilvl="0">
      <w:start w:val="1"/>
      <w:numFmt w:val="bullet"/>
      <w:lvlText w:val=""/>
      <w:lvlJc w:val="left"/>
      <w:pPr>
        <w:tabs>
          <w:tab w:val="num" w:pos="360"/>
        </w:tabs>
        <w:ind w:left="360" w:hanging="360"/>
      </w:pPr>
      <w:rPr>
        <w:rFonts w:ascii="Wingdings" w:hAnsi="Wingdings" w:cs="Wingdings" w:hint="default"/>
        <w:rFonts w:cs="Wingdings"/>
      </w:rPr>
    </w:lvl>
  </w:abstractNum>
  <w:abstractNum w:abstractNumId="32">
    <w:lvl w:ilvl="0">
      <w:start w:val="1"/>
      <w:numFmt w:val="decimal"/>
      <w:lvlText w:val="%1."/>
      <w:lvlJc w:val="left"/>
      <w:pPr>
        <w:tabs>
          <w:tab w:val="num" w:pos="420"/>
        </w:tabs>
        <w:ind w:left="420" w:hanging="360"/>
      </w:pPr>
      <w:rPr/>
    </w:lvl>
    <w:lvl w:ilvl="1">
      <w:start w:val="1"/>
      <w:numFmt w:val="decimal"/>
      <w:lvlText w:val="%1.%2."/>
      <w:lvlJc w:val="left"/>
      <w:pPr>
        <w:tabs>
          <w:tab w:val="num" w:pos="960"/>
        </w:tabs>
        <w:ind w:left="960" w:hanging="480"/>
      </w:pPr>
      <w:rPr/>
    </w:lvl>
    <w:lvl w:ilvl="2">
      <w:start w:val="1"/>
      <w:numFmt w:val="decimal"/>
      <w:lvlText w:val="%1.%2.%3."/>
      <w:lvlJc w:val="left"/>
      <w:pPr>
        <w:tabs>
          <w:tab w:val="num" w:pos="1620"/>
        </w:tabs>
        <w:ind w:left="1620" w:hanging="720"/>
      </w:pPr>
      <w:rPr/>
    </w:lvl>
    <w:lvl w:ilvl="3">
      <w:start w:val="1"/>
      <w:numFmt w:val="decimal"/>
      <w:lvlText w:val="%1.%2.%3.%4."/>
      <w:lvlJc w:val="left"/>
      <w:pPr>
        <w:tabs>
          <w:tab w:val="num" w:pos="2040"/>
        </w:tabs>
        <w:ind w:left="2040" w:hanging="720"/>
      </w:pPr>
      <w:rPr/>
    </w:lvl>
    <w:lvl w:ilvl="4">
      <w:start w:val="1"/>
      <w:numFmt w:val="decimal"/>
      <w:lvlText w:val="%1.%2.%3.%4.%5."/>
      <w:lvlJc w:val="left"/>
      <w:pPr>
        <w:tabs>
          <w:tab w:val="num" w:pos="2820"/>
        </w:tabs>
        <w:ind w:left="2820" w:hanging="1080"/>
      </w:pPr>
      <w:rPr/>
    </w:lvl>
    <w:lvl w:ilvl="5">
      <w:start w:val="1"/>
      <w:numFmt w:val="decimal"/>
      <w:lvlText w:val="%1.%2.%3.%4.%5.%6."/>
      <w:lvlJc w:val="left"/>
      <w:pPr>
        <w:tabs>
          <w:tab w:val="num" w:pos="3240"/>
        </w:tabs>
        <w:ind w:left="3240" w:hanging="1080"/>
      </w:pPr>
      <w:rPr/>
    </w:lvl>
    <w:lvl w:ilvl="6">
      <w:start w:val="1"/>
      <w:numFmt w:val="decimal"/>
      <w:lvlText w:val="%1.%2.%3.%4.%5.%6.%7."/>
      <w:lvlJc w:val="left"/>
      <w:pPr>
        <w:tabs>
          <w:tab w:val="num" w:pos="3660"/>
        </w:tabs>
        <w:ind w:left="3660" w:hanging="1080"/>
      </w:pPr>
      <w:rPr/>
    </w:lvl>
    <w:lvl w:ilvl="7">
      <w:start w:val="1"/>
      <w:numFmt w:val="decimal"/>
      <w:lvlText w:val="%1.%2.%3.%4.%5.%6.%7.%8."/>
      <w:lvlJc w:val="left"/>
      <w:pPr>
        <w:tabs>
          <w:tab w:val="num" w:pos="4440"/>
        </w:tabs>
        <w:ind w:left="4440" w:hanging="1440"/>
      </w:pPr>
      <w:rPr/>
    </w:lvl>
    <w:lvl w:ilvl="8">
      <w:start w:val="1"/>
      <w:numFmt w:val="decimal"/>
      <w:lvlText w:val="%1.%2.%3.%4.%5.%6.%7.%8.%9."/>
      <w:lvlJc w:val="left"/>
      <w:pPr>
        <w:tabs>
          <w:tab w:val="num" w:pos="4860"/>
        </w:tabs>
        <w:ind w:left="4860" w:hanging="1440"/>
      </w:pPr>
      <w:rPr/>
    </w:lvl>
  </w:abstractNum>
  <w:abstractNum w:abstractNumId="33">
    <w:lvl w:ilvl="0">
      <w:start w:val="1"/>
      <w:numFmt w:val="bullet"/>
      <w:lvlText w:val=""/>
      <w:lvlJc w:val="left"/>
      <w:pPr>
        <w:tabs>
          <w:tab w:val="num" w:pos="720"/>
        </w:tabs>
        <w:ind w:left="720" w:hanging="360"/>
      </w:pPr>
      <w:rPr>
        <w:rFonts w:ascii="Symbol" w:hAnsi="Symbol" w:cs="Symbol" w:hint="default"/>
        <w:rFonts w:cs="Symbol"/>
      </w:rPr>
    </w:lvl>
  </w:abstractNum>
  <w:abstractNum w:abstractNumId="34">
    <w:lvl w:ilvl="0">
      <w:start w:val="1"/>
      <w:numFmt w:val="bullet"/>
      <w:lvlText w:val=""/>
      <w:lvlJc w:val="left"/>
      <w:pPr>
        <w:tabs>
          <w:tab w:val="num" w:pos="360"/>
        </w:tabs>
        <w:ind w:left="360" w:hanging="360"/>
      </w:pPr>
      <w:rPr>
        <w:rFonts w:ascii="Symbol" w:hAnsi="Symbol" w:cs="Symbol" w:hint="default"/>
        <w:rFonts w:cs="Symbol"/>
      </w:rPr>
    </w:lvl>
  </w:abstractNum>
  <w:abstractNum w:abstractNumId="35">
    <w:lvl w:ilvl="0">
      <w:start w:val="1"/>
      <w:numFmt w:val="decimal"/>
      <w:lvlText w:val="%1."/>
      <w:lvlJc w:val="left"/>
      <w:pPr>
        <w:tabs>
          <w:tab w:val="num" w:pos="420"/>
        </w:tabs>
        <w:ind w:left="420" w:hanging="360"/>
      </w:pPr>
      <w:rPr>
        <w:b w:val="false"/>
        <w:lang w:val="bg-BG"/>
      </w:rPr>
    </w:lvl>
  </w:abstractNum>
  <w:abstractNum w:abstractNumId="36">
    <w:lvl w:ilvl="0">
      <w:start w:val="1"/>
      <w:numFmt w:val="bullet"/>
      <w:lvlText w:val=""/>
      <w:lvlJc w:val="left"/>
      <w:pPr>
        <w:tabs>
          <w:tab w:val="num" w:pos="1135"/>
        </w:tabs>
        <w:ind w:left="1135" w:hanging="567"/>
      </w:pPr>
      <w:rPr>
        <w:rFonts w:ascii="Wingdings" w:hAnsi="Wingdings" w:cs="Wingdings" w:hint="default"/>
        <w:rFonts w:cs="Wingdings"/>
      </w:rPr>
    </w:lvl>
  </w:abstractNum>
  <w:abstractNum w:abstractNumId="37">
    <w:lvl w:ilvl="0">
      <w:start w:val="1"/>
      <w:numFmt w:val="bullet"/>
      <w:lvlText w:val=""/>
      <w:lvlJc w:val="left"/>
      <w:pPr>
        <w:tabs>
          <w:tab w:val="num" w:pos="360"/>
        </w:tabs>
        <w:ind w:left="360" w:hanging="360"/>
      </w:pPr>
      <w:rPr>
        <w:rFonts w:ascii="Wingdings" w:hAnsi="Wingdings" w:cs="Wingdings" w:hint="default"/>
        <w:rFonts w:cs="Wingdings"/>
        <w:lang w:val="bg-BG"/>
      </w:rPr>
    </w:lvl>
  </w:abstractNum>
  <w:abstractNum w:abstractNumId="38">
    <w:lvl w:ilvl="0">
      <w:start w:val="1"/>
      <w:numFmt w:val="bullet"/>
      <w:lvlText w:val=""/>
      <w:lvlJc w:val="left"/>
      <w:pPr>
        <w:tabs>
          <w:tab w:val="num" w:pos="360"/>
        </w:tabs>
        <w:ind w:left="360" w:hanging="360"/>
      </w:pPr>
      <w:rPr>
        <w:rFonts w:ascii="Wingdings" w:hAnsi="Wingdings" w:cs="Wingdings" w:hint="default"/>
        <w:rFonts w:cs="Wingdings"/>
        <w:lang w:val="bg-BG"/>
      </w:rPr>
    </w:lvl>
  </w:abstractNum>
  <w:abstractNum w:abstractNumId="39">
    <w:lvl w:ilvl="0">
      <w:start w:val="1"/>
      <w:numFmt w:val="bullet"/>
      <w:lvlText w:val=""/>
      <w:lvlJc w:val="left"/>
      <w:pPr>
        <w:tabs>
          <w:tab w:val="num" w:pos="360"/>
        </w:tabs>
        <w:ind w:left="360" w:hanging="360"/>
      </w:pPr>
      <w:rPr>
        <w:rFonts w:ascii="Symbol" w:hAnsi="Symbol" w:cs="Symbol" w:hint="default"/>
        <w:rFonts w:cs="Symbol"/>
      </w:rPr>
    </w:lvl>
  </w:abstractNum>
  <w:abstractNum w:abstractNumId="40">
    <w:lvl w:ilvl="0">
      <w:start w:val="1"/>
      <w:numFmt w:val="bullet"/>
      <w:lvlText w:val=""/>
      <w:lvlJc w:val="left"/>
      <w:pPr>
        <w:tabs>
          <w:tab w:val="num" w:pos="360"/>
        </w:tabs>
        <w:ind w:left="360" w:hanging="360"/>
      </w:pPr>
      <w:rPr>
        <w:rFonts w:ascii="Wingdings" w:hAnsi="Wingdings" w:cs="Wingdings" w:hint="default"/>
        <w:rFonts w:cs="Wingdings"/>
        <w:lang w:val="bg-BG"/>
      </w:rPr>
    </w:lvl>
  </w:abstractNum>
  <w:abstractNum w:abstractNumId="41">
    <w:lvl w:ilvl="0">
      <w:start w:val="1"/>
      <w:numFmt w:val="decimal"/>
      <w:lvlText w:val="%1."/>
      <w:lvlJc w:val="left"/>
      <w:pPr>
        <w:tabs>
          <w:tab w:val="num" w:pos="720"/>
        </w:tabs>
        <w:ind w:left="720" w:hanging="360"/>
      </w:pPr>
      <w:rPr/>
    </w:lvl>
  </w:abstractNum>
  <w:abstractNum w:abstractNumId="42">
    <w:lvl w:ilvl="0">
      <w:start w:val="1"/>
      <w:numFmt w:val="decimal"/>
      <w:lvlText w:val="%1."/>
      <w:lvlJc w:val="left"/>
      <w:pPr>
        <w:tabs>
          <w:tab w:val="num" w:pos="360"/>
        </w:tabs>
        <w:ind w:left="360" w:hanging="360"/>
      </w:pPr>
      <w:rPr>
        <w:b w:val="false"/>
        <w:lang w:val="bg-BG"/>
      </w:rPr>
    </w:lvl>
  </w:abstractNum>
  <w:abstractNum w:abstractNumId="43">
    <w:lvl w:ilvl="0">
      <w:start w:val="1"/>
      <w:numFmt w:val="bullet"/>
      <w:lvlText w:val=""/>
      <w:lvlJc w:val="left"/>
      <w:pPr>
        <w:tabs>
          <w:tab w:val="num" w:pos="360"/>
        </w:tabs>
        <w:ind w:left="360" w:hanging="360"/>
      </w:pPr>
      <w:rPr>
        <w:rFonts w:ascii="Wingdings" w:hAnsi="Wingdings" w:cs="Wingdings" w:hint="default"/>
        <w:rFonts w:cs="Wingdings"/>
        <w:lang w:val="bg-BG"/>
      </w:rPr>
    </w:lvl>
  </w:abstractNum>
  <w:abstractNum w:abstractNumId="44">
    <w:lvl w:ilvl="0">
      <w:start w:val="1"/>
      <w:numFmt w:val="decimal"/>
      <w:lvlText w:val="%1."/>
      <w:lvlJc w:val="left"/>
      <w:pPr>
        <w:tabs>
          <w:tab w:val="num" w:pos="480"/>
        </w:tabs>
        <w:ind w:left="480" w:hanging="360"/>
      </w:pPr>
      <w:rPr>
        <w:b/>
        <w:lang w:val="bg-BG"/>
      </w:rPr>
    </w:lvl>
  </w:abstractNum>
  <w:abstractNum w:abstractNumId="45">
    <w:lvl w:ilvl="0">
      <w:start w:val="1"/>
      <w:numFmt w:val="decimal"/>
      <w:lvlText w:val="%1."/>
      <w:lvlJc w:val="left"/>
      <w:pPr>
        <w:tabs>
          <w:tab w:val="num" w:pos="360"/>
        </w:tabs>
        <w:ind w:left="360" w:hanging="360"/>
      </w:pPr>
      <w:rPr>
        <w:b w:val="false"/>
        <w:lang w:val="bg-BG"/>
      </w:rPr>
    </w:lvl>
  </w:abstractNum>
  <w:abstractNum w:abstractNumId="46">
    <w:lvl w:ilvl="0">
      <w:start w:val="1"/>
      <w:numFmt w:val="bullet"/>
      <w:lvlText w:val=""/>
      <w:lvlJc w:val="left"/>
      <w:pPr>
        <w:tabs>
          <w:tab w:val="num" w:pos="360"/>
        </w:tabs>
        <w:ind w:left="360" w:hanging="360"/>
      </w:pPr>
      <w:rPr>
        <w:rFonts w:ascii="Wingdings" w:hAnsi="Wingdings" w:cs="Wingdings" w:hint="default"/>
        <w:rFonts w:cs="Wingdings"/>
      </w:rPr>
    </w:lvl>
  </w:abstractNum>
  <w:abstractNum w:abstractNumId="47">
    <w:lvl w:ilvl="0">
      <w:start w:val="1"/>
      <w:numFmt w:val="decimal"/>
      <w:lvlText w:val="%1."/>
      <w:lvlJc w:val="left"/>
      <w:pPr>
        <w:tabs>
          <w:tab w:val="num" w:pos="420"/>
        </w:tabs>
        <w:ind w:left="420" w:hanging="360"/>
      </w:pPr>
      <w:rPr/>
    </w:lvl>
  </w:abstractNum>
  <w:abstractNum w:abstractNumId="48">
    <w:lvl w:ilvl="0">
      <w:start w:val="1"/>
      <w:numFmt w:val="decimal"/>
      <w:lvlText w:val="%1."/>
      <w:lvlJc w:val="left"/>
      <w:pPr>
        <w:tabs>
          <w:tab w:val="num" w:pos="420"/>
        </w:tabs>
        <w:ind w:left="420" w:hanging="360"/>
      </w:pPr>
      <w:rPr/>
    </w:lvl>
    <w:lvl w:ilvl="1">
      <w:start w:val="2"/>
      <w:numFmt w:val="decimal"/>
      <w:lvlText w:val="%1.%2."/>
      <w:lvlJc w:val="left"/>
      <w:pPr>
        <w:tabs>
          <w:tab w:val="num" w:pos="660"/>
        </w:tabs>
        <w:ind w:left="660" w:hanging="600"/>
      </w:pPr>
      <w:rPr/>
    </w:lvl>
    <w:lvl w:ilvl="2">
      <w:start w:val="1"/>
      <w:numFmt w:val="decimal"/>
      <w:lvlText w:val="%1.%2.%3."/>
      <w:lvlJc w:val="left"/>
      <w:pPr>
        <w:tabs>
          <w:tab w:val="num" w:pos="780"/>
        </w:tabs>
        <w:ind w:left="780" w:hanging="720"/>
      </w:pPr>
      <w:rPr/>
    </w:lvl>
    <w:lvl w:ilvl="3">
      <w:start w:val="1"/>
      <w:numFmt w:val="decimal"/>
      <w:lvlText w:val="%1.%2.%3.%4."/>
      <w:lvlJc w:val="left"/>
      <w:pPr>
        <w:tabs>
          <w:tab w:val="num" w:pos="780"/>
        </w:tabs>
        <w:ind w:left="780" w:hanging="720"/>
      </w:pPr>
      <w:rPr/>
    </w:lvl>
    <w:lvl w:ilvl="4">
      <w:start w:val="1"/>
      <w:numFmt w:val="decimal"/>
      <w:lvlText w:val="%1.%2.%3.%4.%5."/>
      <w:lvlJc w:val="left"/>
      <w:pPr>
        <w:tabs>
          <w:tab w:val="num" w:pos="1140"/>
        </w:tabs>
        <w:ind w:left="1140" w:hanging="1080"/>
      </w:pPr>
      <w:rPr/>
    </w:lvl>
    <w:lvl w:ilvl="5">
      <w:start w:val="1"/>
      <w:numFmt w:val="decimal"/>
      <w:lvlText w:val="%1.%2.%3.%4.%5.%6."/>
      <w:lvlJc w:val="left"/>
      <w:pPr>
        <w:tabs>
          <w:tab w:val="num" w:pos="1140"/>
        </w:tabs>
        <w:ind w:left="1140" w:hanging="1080"/>
      </w:pPr>
      <w:rPr/>
    </w:lvl>
    <w:lvl w:ilvl="6">
      <w:start w:val="1"/>
      <w:numFmt w:val="decimal"/>
      <w:lvlText w:val="%1.%2.%3.%4.%5.%6.%7."/>
      <w:lvlJc w:val="left"/>
      <w:pPr>
        <w:tabs>
          <w:tab w:val="num" w:pos="1140"/>
        </w:tabs>
        <w:ind w:left="1140" w:hanging="1080"/>
      </w:pPr>
      <w:rPr/>
    </w:lvl>
    <w:lvl w:ilvl="7">
      <w:start w:val="1"/>
      <w:numFmt w:val="decimal"/>
      <w:lvlText w:val="%1.%2.%3.%4.%5.%6.%7.%8."/>
      <w:lvlJc w:val="left"/>
      <w:pPr>
        <w:tabs>
          <w:tab w:val="num" w:pos="1500"/>
        </w:tabs>
        <w:ind w:left="1500" w:hanging="1440"/>
      </w:pPr>
      <w:rPr/>
    </w:lvl>
    <w:lvl w:ilvl="8">
      <w:start w:val="1"/>
      <w:numFmt w:val="decimal"/>
      <w:lvlText w:val="%1.%2.%3.%4.%5.%6.%7.%8.%9."/>
      <w:lvlJc w:val="left"/>
      <w:pPr>
        <w:tabs>
          <w:tab w:val="num" w:pos="1500"/>
        </w:tabs>
        <w:ind w:left="1500" w:hanging="1440"/>
      </w:pPr>
      <w:rPr/>
    </w:lvl>
  </w:abstractNum>
  <w:abstractNum w:abstractNumId="49">
    <w:lvl w:ilvl="0">
      <w:start w:val="1"/>
      <w:numFmt w:val="bullet"/>
      <w:lvlText w:val=""/>
      <w:lvlJc w:val="left"/>
      <w:pPr>
        <w:tabs>
          <w:tab w:val="num" w:pos="360"/>
        </w:tabs>
        <w:ind w:left="360" w:hanging="360"/>
      </w:pPr>
      <w:rPr>
        <w:rFonts w:ascii="Wingdings" w:hAnsi="Wingdings" w:cs="Wingdings" w:hint="default"/>
        <w:rFonts w:cs="Wingdings"/>
        <w:lang w:val="bg-BG"/>
      </w:rPr>
    </w:lvl>
  </w:abstractNum>
  <w:abstractNum w:abstractNumId="50">
    <w:lvl w:ilvl="0">
      <w:start w:val="1"/>
      <w:numFmt w:val="bullet"/>
      <w:lvlText w:val=""/>
      <w:lvlJc w:val="left"/>
      <w:pPr>
        <w:tabs>
          <w:tab w:val="num" w:pos="360"/>
        </w:tabs>
        <w:ind w:left="360" w:hanging="360"/>
      </w:pPr>
      <w:rPr>
        <w:rFonts w:ascii="Symbol" w:hAnsi="Symbol" w:cs="Symbol" w:hint="default"/>
        <w:rFonts w:cs="Symbol"/>
        <w:lang w:val="bg-BG"/>
      </w:rPr>
    </w:lvl>
  </w:abstractNum>
  <w:abstractNum w:abstractNumId="51">
    <w:lvl w:ilvl="0">
      <w:start w:val="1"/>
      <w:numFmt w:val="decimal"/>
      <w:lvlText w:val="%1."/>
      <w:lvlJc w:val="left"/>
      <w:pPr>
        <w:tabs>
          <w:tab w:val="num" w:pos="396"/>
        </w:tabs>
        <w:ind w:left="396" w:hanging="396"/>
      </w:pPr>
      <w:rPr>
        <w:b w:val="false"/>
        <w:lang w:val="bg-BG"/>
      </w:rPr>
    </w:lvl>
  </w:abstractNum>
  <w:abstractNum w:abstractNumId="52">
    <w:lvl w:ilvl="0">
      <w:start w:val="1"/>
      <w:numFmt w:val="decimal"/>
      <w:lvlText w:val="%1."/>
      <w:lvlJc w:val="left"/>
      <w:pPr>
        <w:tabs>
          <w:tab w:val="num" w:pos="360"/>
        </w:tabs>
        <w:ind w:left="360" w:hanging="360"/>
      </w:pPr>
      <w:rPr/>
    </w:lvl>
  </w:abstractNum>
  <w:abstractNum w:abstractNumId="53">
    <w:lvl w:ilvl="0">
      <w:start w:val="1"/>
      <w:numFmt w:val="decimal"/>
      <w:lvlText w:val="%1."/>
      <w:lvlJc w:val="left"/>
      <w:pPr>
        <w:tabs>
          <w:tab w:val="num" w:pos="420"/>
        </w:tabs>
        <w:ind w:left="420" w:hanging="360"/>
      </w:pPr>
      <w:rPr/>
    </w:lvl>
  </w:abstractNum>
  <w:abstractNum w:abstractNumId="54">
    <w:lvl w:ilvl="0">
      <w:start w:val="1"/>
      <w:numFmt w:val="decimal"/>
      <w:lvlText w:val="%1."/>
      <w:lvlJc w:val="left"/>
      <w:pPr>
        <w:tabs>
          <w:tab w:val="num" w:pos="720"/>
        </w:tabs>
        <w:ind w:left="720" w:hanging="360"/>
      </w:pPr>
      <w:rPr/>
    </w:lvl>
  </w:abstractNum>
  <w:abstractNum w:abstractNumId="55">
    <w:lvl w:ilvl="0">
      <w:start w:val="1"/>
      <w:numFmt w:val="decimal"/>
      <w:lvlText w:val="%1."/>
      <w:lvlJc w:val="left"/>
      <w:pPr>
        <w:tabs>
          <w:tab w:val="num" w:pos="660"/>
        </w:tabs>
        <w:ind w:left="660" w:hanging="360"/>
      </w:pPr>
      <w:rPr>
        <w:b w:val="false"/>
        <w:lang w:val="bg-BG"/>
      </w:rPr>
    </w:lvl>
  </w:abstractNum>
  <w:abstractNum w:abstractNumId="56">
    <w:lvl w:ilvl="0">
      <w:start w:val="1"/>
      <w:numFmt w:val="decimal"/>
      <w:lvlText w:val="%1."/>
      <w:lvlJc w:val="left"/>
      <w:pPr>
        <w:tabs>
          <w:tab w:val="num" w:pos="420"/>
        </w:tabs>
        <w:ind w:left="420" w:hanging="360"/>
      </w:pPr>
      <w:rPr>
        <w:b w:val="false"/>
        <w:lang w:val="bg-BG"/>
      </w:rPr>
    </w:lvl>
    <w:lvl w:ilvl="1">
      <w:start w:val="2"/>
      <w:numFmt w:val="decimal"/>
      <w:lvlText w:val="%1.%2."/>
      <w:lvlJc w:val="left"/>
      <w:pPr>
        <w:tabs>
          <w:tab w:val="num" w:pos="1020"/>
        </w:tabs>
        <w:ind w:left="1020" w:hanging="480"/>
      </w:pPr>
      <w:rPr>
        <w:b w:val="false"/>
        <w:lang w:val="bg-BG"/>
      </w:rPr>
    </w:lvl>
    <w:lvl w:ilvl="2">
      <w:start w:val="1"/>
      <w:numFmt w:val="decimal"/>
      <w:lvlText w:val="%1.%2.%3."/>
      <w:lvlJc w:val="left"/>
      <w:pPr>
        <w:tabs>
          <w:tab w:val="num" w:pos="1740"/>
        </w:tabs>
        <w:ind w:left="1740" w:hanging="720"/>
      </w:pPr>
      <w:rPr>
        <w:b w:val="false"/>
        <w:lang w:val="bg-BG"/>
      </w:rPr>
    </w:lvl>
    <w:lvl w:ilvl="3">
      <w:start w:val="1"/>
      <w:numFmt w:val="decimal"/>
      <w:lvlText w:val="%1.%2.%3.%4."/>
      <w:lvlJc w:val="left"/>
      <w:pPr>
        <w:tabs>
          <w:tab w:val="num" w:pos="2220"/>
        </w:tabs>
        <w:ind w:left="2220" w:hanging="720"/>
      </w:pPr>
      <w:rPr>
        <w:b w:val="false"/>
        <w:lang w:val="bg-BG"/>
      </w:rPr>
    </w:lvl>
    <w:lvl w:ilvl="4">
      <w:start w:val="1"/>
      <w:numFmt w:val="decimal"/>
      <w:lvlText w:val="%1.%2.%3.%4.%5."/>
      <w:lvlJc w:val="left"/>
      <w:pPr>
        <w:tabs>
          <w:tab w:val="num" w:pos="3060"/>
        </w:tabs>
        <w:ind w:left="3060" w:hanging="1080"/>
      </w:pPr>
      <w:rPr>
        <w:b w:val="false"/>
        <w:lang w:val="bg-BG"/>
      </w:rPr>
    </w:lvl>
    <w:lvl w:ilvl="5">
      <w:start w:val="1"/>
      <w:numFmt w:val="decimal"/>
      <w:lvlText w:val="%1.%2.%3.%4.%5.%6."/>
      <w:lvlJc w:val="left"/>
      <w:pPr>
        <w:tabs>
          <w:tab w:val="num" w:pos="3540"/>
        </w:tabs>
        <w:ind w:left="3540" w:hanging="1080"/>
      </w:pPr>
      <w:rPr>
        <w:b w:val="false"/>
        <w:lang w:val="bg-BG"/>
      </w:rPr>
    </w:lvl>
    <w:lvl w:ilvl="6">
      <w:start w:val="1"/>
      <w:numFmt w:val="decimal"/>
      <w:lvlText w:val="%1.%2.%3.%4.%5.%6.%7."/>
      <w:lvlJc w:val="left"/>
      <w:pPr>
        <w:tabs>
          <w:tab w:val="num" w:pos="4020"/>
        </w:tabs>
        <w:ind w:left="4020" w:hanging="1080"/>
      </w:pPr>
      <w:rPr>
        <w:b w:val="false"/>
        <w:lang w:val="bg-BG"/>
      </w:rPr>
    </w:lvl>
    <w:lvl w:ilvl="7">
      <w:start w:val="1"/>
      <w:numFmt w:val="decimal"/>
      <w:lvlText w:val="%1.%2.%3.%4.%5.%6.%7.%8."/>
      <w:lvlJc w:val="left"/>
      <w:pPr>
        <w:tabs>
          <w:tab w:val="num" w:pos="4860"/>
        </w:tabs>
        <w:ind w:left="4860" w:hanging="1440"/>
      </w:pPr>
      <w:rPr>
        <w:b w:val="false"/>
        <w:lang w:val="bg-BG"/>
      </w:rPr>
    </w:lvl>
    <w:lvl w:ilvl="8">
      <w:start w:val="1"/>
      <w:numFmt w:val="decimal"/>
      <w:lvlText w:val="%1.%2.%3.%4.%5.%6.%7.%8.%9."/>
      <w:lvlJc w:val="left"/>
      <w:pPr>
        <w:tabs>
          <w:tab w:val="num" w:pos="5340"/>
        </w:tabs>
        <w:ind w:left="5340" w:hanging="1440"/>
      </w:pPr>
      <w:rPr>
        <w:b w:val="false"/>
        <w:lang w:val="bg-BG"/>
      </w:rPr>
    </w:lvl>
  </w:abstractNum>
  <w:abstractNum w:abstractNumId="57">
    <w:lvl w:ilvl="0">
      <w:start w:val="1"/>
      <w:numFmt w:val="bullet"/>
      <w:lvlText w:val=""/>
      <w:lvlJc w:val="left"/>
      <w:pPr>
        <w:tabs>
          <w:tab w:val="num" w:pos="360"/>
        </w:tabs>
        <w:ind w:left="360" w:hanging="360"/>
      </w:pPr>
      <w:rPr>
        <w:rFonts w:ascii="Symbol" w:hAnsi="Symbol" w:cs="Symbol" w:hint="default"/>
        <w:rFonts w:cs="Symbol"/>
      </w:rPr>
    </w:lvl>
  </w:abstractNum>
  <w:abstractNum w:abstractNumId="58">
    <w:lvl w:ilvl="0">
      <w:start w:val="1"/>
      <w:numFmt w:val="bullet"/>
      <w:lvlText w:val=""/>
      <w:lvlJc w:val="left"/>
      <w:pPr>
        <w:tabs>
          <w:tab w:val="num" w:pos="360"/>
        </w:tabs>
        <w:ind w:left="360" w:hanging="360"/>
      </w:pPr>
      <w:rPr>
        <w:rFonts w:ascii="Wingdings" w:hAnsi="Wingdings" w:cs="Wingdings" w:hint="default"/>
        <w:rFonts w:cs="Wingdings"/>
      </w:rPr>
    </w:lvl>
  </w:abstractNum>
  <w:abstractNum w:abstractNumId="59">
    <w:lvl w:ilvl="0">
      <w:start w:val="1"/>
      <w:numFmt w:val="decimal"/>
      <w:lvlText w:val="%1."/>
      <w:lvlJc w:val="left"/>
      <w:pPr>
        <w:tabs>
          <w:tab w:val="num" w:pos="360"/>
        </w:tabs>
        <w:ind w:left="360" w:hanging="360"/>
      </w:pPr>
      <w:rPr>
        <w:b/>
        <w:lang w:val="bg-BG"/>
      </w:rPr>
    </w:lvl>
  </w:abstractNum>
  <w:abstractNum w:abstractNumId="60">
    <w:lvl w:ilvl="0">
      <w:start w:val="1"/>
      <w:numFmt w:val="bullet"/>
      <w:lvlText w:val=""/>
      <w:lvlJc w:val="left"/>
      <w:pPr>
        <w:tabs>
          <w:tab w:val="num" w:pos="360"/>
        </w:tabs>
        <w:ind w:left="360" w:hanging="360"/>
      </w:pPr>
      <w:rPr>
        <w:rFonts w:ascii="Wingdings" w:hAnsi="Wingdings" w:cs="Wingdings" w:hint="default"/>
        <w:sz w:val="16"/>
        <w:rFonts w:cs="Wingdings"/>
      </w:rPr>
    </w:lvl>
  </w:abstractNum>
  <w:abstractNum w:abstractNumId="61">
    <w:lvl w:ilvl="0">
      <w:start w:val="1"/>
      <w:numFmt w:val="bullet"/>
      <w:lvlText w:val=""/>
      <w:lvlJc w:val="left"/>
      <w:pPr>
        <w:tabs>
          <w:tab w:val="num" w:pos="360"/>
        </w:tabs>
        <w:ind w:left="360" w:hanging="360"/>
      </w:pPr>
      <w:rPr>
        <w:rFonts w:ascii="Wingdings" w:hAnsi="Wingdings" w:cs="Wingdings" w:hint="default"/>
        <w:rFonts w:cs="Wingdings"/>
        <w:lang w:val="bg-BG"/>
      </w:rPr>
    </w:lvl>
  </w:abstractNum>
  <w:abstractNum w:abstractNumId="62">
    <w:lvl w:ilvl="0">
      <w:start w:val="1"/>
      <w:numFmt w:val="decimal"/>
      <w:lvlText w:val="%1."/>
      <w:lvlJc w:val="left"/>
      <w:pPr>
        <w:tabs>
          <w:tab w:val="num" w:pos="1080"/>
        </w:tabs>
        <w:ind w:left="1080" w:hanging="360"/>
      </w:pPr>
      <w:rPr>
        <w:b w:val="false"/>
        <w:lang w:val="bg-BG"/>
      </w:rPr>
    </w:lvl>
    <w:lvl w:ilvl="1">
      <w:start w:val="3"/>
      <w:numFmt w:val="decimal"/>
      <w:lvlText w:val="%1.%2."/>
      <w:lvlJc w:val="left"/>
      <w:pPr>
        <w:tabs>
          <w:tab w:val="num" w:pos="1080"/>
        </w:tabs>
        <w:ind w:left="1080" w:hanging="360"/>
      </w:pPr>
      <w:rPr>
        <w:b w:val="false"/>
        <w:lang w:val="bg-BG"/>
      </w:rPr>
    </w:lvl>
    <w:lvl w:ilvl="2">
      <w:start w:val="1"/>
      <w:numFmt w:val="decimal"/>
      <w:lvlText w:val="%1.%2.%3."/>
      <w:lvlJc w:val="left"/>
      <w:pPr>
        <w:tabs>
          <w:tab w:val="num" w:pos="1440"/>
        </w:tabs>
        <w:ind w:left="1440" w:hanging="720"/>
      </w:pPr>
      <w:rPr>
        <w:b w:val="false"/>
        <w:lang w:val="bg-BG"/>
      </w:rPr>
    </w:lvl>
    <w:lvl w:ilvl="3">
      <w:start w:val="1"/>
      <w:numFmt w:val="decimal"/>
      <w:lvlText w:val="%1.%2.%3.%4."/>
      <w:lvlJc w:val="left"/>
      <w:pPr>
        <w:tabs>
          <w:tab w:val="num" w:pos="1440"/>
        </w:tabs>
        <w:ind w:left="1440" w:hanging="720"/>
      </w:pPr>
      <w:rPr>
        <w:b w:val="false"/>
        <w:lang w:val="bg-BG"/>
      </w:rPr>
    </w:lvl>
    <w:lvl w:ilvl="4">
      <w:start w:val="1"/>
      <w:numFmt w:val="decimal"/>
      <w:lvlText w:val="%1.%2.%3.%4.%5."/>
      <w:lvlJc w:val="left"/>
      <w:pPr>
        <w:tabs>
          <w:tab w:val="num" w:pos="1800"/>
        </w:tabs>
        <w:ind w:left="1800" w:hanging="1080"/>
      </w:pPr>
      <w:rPr>
        <w:b w:val="false"/>
        <w:lang w:val="bg-BG"/>
      </w:rPr>
    </w:lvl>
    <w:lvl w:ilvl="5">
      <w:start w:val="1"/>
      <w:numFmt w:val="decimal"/>
      <w:lvlText w:val="%1.%2.%3.%4.%5.%6."/>
      <w:lvlJc w:val="left"/>
      <w:pPr>
        <w:tabs>
          <w:tab w:val="num" w:pos="1800"/>
        </w:tabs>
        <w:ind w:left="1800" w:hanging="1080"/>
      </w:pPr>
      <w:rPr>
        <w:b w:val="false"/>
        <w:lang w:val="bg-BG"/>
      </w:rPr>
    </w:lvl>
    <w:lvl w:ilvl="6">
      <w:start w:val="1"/>
      <w:numFmt w:val="decimal"/>
      <w:lvlText w:val="%1.%2.%3.%4.%5.%6.%7."/>
      <w:lvlJc w:val="left"/>
      <w:pPr>
        <w:tabs>
          <w:tab w:val="num" w:pos="2160"/>
        </w:tabs>
        <w:ind w:left="2160" w:hanging="1440"/>
      </w:pPr>
      <w:rPr>
        <w:b w:val="false"/>
        <w:lang w:val="bg-BG"/>
      </w:rPr>
    </w:lvl>
    <w:lvl w:ilvl="7">
      <w:start w:val="1"/>
      <w:numFmt w:val="decimal"/>
      <w:lvlText w:val="%1.%2.%3.%4.%5.%6.%7.%8."/>
      <w:lvlJc w:val="left"/>
      <w:pPr>
        <w:tabs>
          <w:tab w:val="num" w:pos="2160"/>
        </w:tabs>
        <w:ind w:left="2160" w:hanging="1440"/>
      </w:pPr>
      <w:rPr>
        <w:b w:val="false"/>
        <w:lang w:val="bg-BG"/>
      </w:rPr>
    </w:lvl>
    <w:lvl w:ilvl="8">
      <w:start w:val="1"/>
      <w:numFmt w:val="decimal"/>
      <w:lvlText w:val="%1.%2.%3.%4.%5.%6.%7.%8.%9."/>
      <w:lvlJc w:val="left"/>
      <w:pPr>
        <w:tabs>
          <w:tab w:val="num" w:pos="2520"/>
        </w:tabs>
        <w:ind w:left="2520" w:hanging="1800"/>
      </w:pPr>
      <w:rPr>
        <w:b w:val="false"/>
        <w:lang w:val="bg-BG"/>
      </w:rPr>
    </w:lvl>
  </w:abstractNum>
  <w:abstractNum w:abstractNumId="63">
    <w:lvl w:ilvl="0">
      <w:start w:val="1"/>
      <w:numFmt w:val="bullet"/>
      <w:lvlText w:val=""/>
      <w:lvlJc w:val="left"/>
      <w:pPr>
        <w:tabs>
          <w:tab w:val="num" w:pos="927"/>
        </w:tabs>
        <w:ind w:left="927" w:hanging="360"/>
      </w:pPr>
      <w:rPr>
        <w:rFonts w:ascii="Symbol" w:hAnsi="Symbol" w:cs="Symbol" w:hint="default"/>
        <w:rFonts w:cs="Symbol"/>
      </w:rPr>
    </w:lvl>
    <w:lvl w:ilvl="1">
      <w:start w:val="1"/>
      <w:numFmt w:val="bullet"/>
      <w:lvlText w:val=""/>
      <w:lvlJc w:val="left"/>
      <w:pPr>
        <w:tabs>
          <w:tab w:val="num" w:pos="1440"/>
        </w:tabs>
        <w:ind w:left="1440" w:hanging="360"/>
      </w:pPr>
      <w:rPr>
        <w:rFonts w:ascii="Wingdings" w:hAnsi="Wingdings" w:cs="Wingdings" w:hint="default"/>
        <w:rFonts w:cs="Wingdings"/>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rFonts w:cs="Symbol"/>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64">
    <w:lvl w:ilvl="0">
      <w:start w:val="1"/>
      <w:numFmt w:val="bullet"/>
      <w:lvlText w:val=""/>
      <w:lvlJc w:val="left"/>
      <w:pPr>
        <w:tabs>
          <w:tab w:val="num" w:pos="360"/>
        </w:tabs>
        <w:ind w:left="360" w:hanging="360"/>
      </w:pPr>
      <w:rPr>
        <w:rFonts w:ascii="Wingdings" w:hAnsi="Wingdings" w:cs="Wingdings" w:hint="default"/>
        <w:rFonts w:cs="Times New Roman"/>
      </w:rPr>
    </w:lvl>
  </w:abstractNum>
  <w:abstractNum w:abstractNumId="65">
    <w:lvl w:ilvl="0">
      <w:start w:val="1"/>
      <w:numFmt w:val="bullet"/>
      <w:lvlText w:val=""/>
      <w:lvlJc w:val="left"/>
      <w:pPr>
        <w:tabs>
          <w:tab w:val="num" w:pos="360"/>
        </w:tabs>
        <w:ind w:left="360" w:hanging="360"/>
      </w:pPr>
      <w:rPr>
        <w:rFonts w:ascii="Wingdings" w:hAnsi="Wingdings" w:cs="Wingdings" w:hint="default"/>
        <w:rFonts w:cs="Wingdings"/>
        <w:lang w:val="bg-BG"/>
      </w:rPr>
    </w:lvl>
  </w:abstractNum>
  <w:abstractNum w:abstractNumId="66">
    <w:lvl w:ilvl="0">
      <w:start w:val="1"/>
      <w:numFmt w:val="decimal"/>
      <w:lvlText w:val="%1."/>
      <w:lvlJc w:val="left"/>
      <w:pPr>
        <w:tabs>
          <w:tab w:val="num" w:pos="720"/>
        </w:tabs>
        <w:ind w:left="720" w:hanging="360"/>
      </w:pPr>
      <w:rPr/>
    </w:lvl>
  </w:abstractNum>
  <w:abstractNum w:abstractNumId="67">
    <w:lvl w:ilvl="0">
      <w:start w:val="1"/>
      <w:numFmt w:val="bullet"/>
      <w:lvlText w:val=""/>
      <w:lvlJc w:val="left"/>
      <w:pPr>
        <w:tabs>
          <w:tab w:val="num" w:pos="360"/>
        </w:tabs>
        <w:ind w:left="360" w:hanging="360"/>
      </w:pPr>
      <w:rPr>
        <w:rFonts w:ascii="Symbol" w:hAnsi="Symbol" w:cs="Symbol" w:hint="default"/>
        <w:rFonts w:cs="Symbol"/>
      </w:rPr>
    </w:lvl>
  </w:abstractNum>
  <w:abstractNum w:abstractNumId="68">
    <w:lvl w:ilvl="0">
      <w:start w:val="1"/>
      <w:numFmt w:val="bullet"/>
      <w:lvlText w:val=""/>
      <w:lvlJc w:val="left"/>
      <w:pPr>
        <w:tabs>
          <w:tab w:val="num" w:pos="360"/>
        </w:tabs>
        <w:ind w:left="360" w:hanging="360"/>
      </w:pPr>
      <w:rPr>
        <w:rFonts w:ascii="Wingdings" w:hAnsi="Wingdings" w:cs="Wingdings" w:hint="default"/>
        <w:sz w:val="16"/>
        <w:rFonts w:cs="Wingdings"/>
        <w:lang w:val="bg-BG"/>
      </w:rPr>
    </w:lvl>
  </w:abstractNum>
  <w:abstractNum w:abstractNumId="69">
    <w:lvl w:ilvl="0">
      <w:start w:val="1"/>
      <w:numFmt w:val="decimal"/>
      <w:lvlText w:val="%1."/>
      <w:lvlJc w:val="left"/>
      <w:pPr>
        <w:tabs>
          <w:tab w:val="num" w:pos="480"/>
        </w:tabs>
        <w:ind w:left="480" w:hanging="360"/>
      </w:pPr>
      <w:rPr>
        <w:b w:val="false"/>
        <w:lang w:val="bg-BG"/>
      </w:rPr>
    </w:lvl>
    <w:lvl w:ilvl="1">
      <w:start w:val="1"/>
      <w:numFmt w:val="decimal"/>
      <w:lvlText w:val="%1.%2."/>
      <w:lvlJc w:val="left"/>
      <w:pPr>
        <w:tabs>
          <w:tab w:val="num" w:pos="960"/>
        </w:tabs>
        <w:ind w:left="960" w:hanging="480"/>
      </w:pPr>
      <w:rPr>
        <w:b w:val="false"/>
        <w:lang w:val="bg-BG"/>
      </w:rPr>
    </w:lvl>
    <w:lvl w:ilvl="2">
      <w:start w:val="1"/>
      <w:numFmt w:val="decimal"/>
      <w:lvlText w:val="%1.%2.%3."/>
      <w:lvlJc w:val="left"/>
      <w:pPr>
        <w:tabs>
          <w:tab w:val="num" w:pos="1560"/>
        </w:tabs>
        <w:ind w:left="1560" w:hanging="720"/>
      </w:pPr>
      <w:rPr>
        <w:b w:val="false"/>
        <w:lang w:val="bg-BG"/>
      </w:rPr>
    </w:lvl>
    <w:lvl w:ilvl="3">
      <w:start w:val="1"/>
      <w:numFmt w:val="decimal"/>
      <w:lvlText w:val="%1.%2.%3.%4."/>
      <w:lvlJc w:val="left"/>
      <w:pPr>
        <w:tabs>
          <w:tab w:val="num" w:pos="1920"/>
        </w:tabs>
        <w:ind w:left="1920" w:hanging="720"/>
      </w:pPr>
      <w:rPr>
        <w:b w:val="false"/>
        <w:lang w:val="bg-BG"/>
      </w:rPr>
    </w:lvl>
    <w:lvl w:ilvl="4">
      <w:start w:val="1"/>
      <w:numFmt w:val="decimal"/>
      <w:lvlText w:val="%1.%2.%3.%4.%5."/>
      <w:lvlJc w:val="left"/>
      <w:pPr>
        <w:tabs>
          <w:tab w:val="num" w:pos="2640"/>
        </w:tabs>
        <w:ind w:left="2640" w:hanging="1080"/>
      </w:pPr>
      <w:rPr>
        <w:b w:val="false"/>
        <w:lang w:val="bg-BG"/>
      </w:rPr>
    </w:lvl>
    <w:lvl w:ilvl="5">
      <w:start w:val="1"/>
      <w:numFmt w:val="decimal"/>
      <w:lvlText w:val="%1.%2.%3.%4.%5.%6."/>
      <w:lvlJc w:val="left"/>
      <w:pPr>
        <w:tabs>
          <w:tab w:val="num" w:pos="3000"/>
        </w:tabs>
        <w:ind w:left="3000" w:hanging="1080"/>
      </w:pPr>
      <w:rPr>
        <w:b w:val="false"/>
        <w:lang w:val="bg-BG"/>
      </w:rPr>
    </w:lvl>
    <w:lvl w:ilvl="6">
      <w:start w:val="1"/>
      <w:numFmt w:val="decimal"/>
      <w:lvlText w:val="%1.%2.%3.%4.%5.%6.%7."/>
      <w:lvlJc w:val="left"/>
      <w:pPr>
        <w:tabs>
          <w:tab w:val="num" w:pos="3720"/>
        </w:tabs>
        <w:ind w:left="3720" w:hanging="1440"/>
      </w:pPr>
      <w:rPr>
        <w:b w:val="false"/>
        <w:lang w:val="bg-BG"/>
      </w:rPr>
    </w:lvl>
    <w:lvl w:ilvl="7">
      <w:start w:val="1"/>
      <w:numFmt w:val="decimal"/>
      <w:lvlText w:val="%1.%2.%3.%4.%5.%6.%7.%8."/>
      <w:lvlJc w:val="left"/>
      <w:pPr>
        <w:tabs>
          <w:tab w:val="num" w:pos="4080"/>
        </w:tabs>
        <w:ind w:left="4080" w:hanging="1440"/>
      </w:pPr>
      <w:rPr>
        <w:b w:val="false"/>
        <w:lang w:val="bg-BG"/>
      </w:rPr>
    </w:lvl>
    <w:lvl w:ilvl="8">
      <w:start w:val="1"/>
      <w:numFmt w:val="decimal"/>
      <w:lvlText w:val="%1.%2.%3.%4.%5.%6.%7.%8.%9."/>
      <w:lvlJc w:val="left"/>
      <w:pPr>
        <w:tabs>
          <w:tab w:val="num" w:pos="4800"/>
        </w:tabs>
        <w:ind w:left="4800" w:hanging="1800"/>
      </w:pPr>
      <w:rPr>
        <w:b w:val="false"/>
        <w:lang w:val="bg-BG"/>
      </w:rPr>
    </w:lvl>
  </w:abstractNum>
  <w:abstractNum w:abstractNumId="70">
    <w:lvl w:ilvl="0">
      <w:start w:val="1"/>
      <w:numFmt w:val="bullet"/>
      <w:lvlText w:val=""/>
      <w:lvlJc w:val="left"/>
      <w:pPr>
        <w:tabs>
          <w:tab w:val="num" w:pos="928"/>
        </w:tabs>
        <w:ind w:left="928" w:hanging="360"/>
      </w:pPr>
      <w:rPr>
        <w:rFonts w:ascii="Symbol" w:hAnsi="Symbol" w:cs="Symbol" w:hint="default"/>
        <w:rFonts w:cs="Symbol"/>
      </w:rPr>
    </w:lvl>
  </w:abstractNum>
  <w:abstractNum w:abstractNumId="71">
    <w:lvl w:ilvl="0">
      <w:start w:val="65535"/>
      <w:numFmt w:val="bullet"/>
      <w:lvlText w:val="♦"/>
      <w:lvlJc w:val="left"/>
      <w:pPr>
        <w:tabs>
          <w:tab w:val="num" w:pos="624"/>
        </w:tabs>
        <w:ind w:left="624" w:hanging="454"/>
      </w:pPr>
      <w:rPr>
        <w:rFonts w:ascii="Times New Roman" w:hAnsi="Times New Roman" w:cs="Times New Roman" w:hint="default"/>
        <w:rFonts w:cs="Times New Roman"/>
      </w:rPr>
    </w:lvl>
  </w:abstractNum>
  <w:abstractNum w:abstractNumId="72">
    <w:lvl w:ilvl="0">
      <w:start w:val="1"/>
      <w:numFmt w:val="bullet"/>
      <w:lvlText w:val=""/>
      <w:lvlJc w:val="left"/>
      <w:pPr>
        <w:tabs>
          <w:tab w:val="num" w:pos="360"/>
        </w:tabs>
        <w:ind w:left="360" w:hanging="360"/>
      </w:pPr>
      <w:rPr>
        <w:rFonts w:ascii="Wingdings" w:hAnsi="Wingdings" w:cs="Wingdings" w:hint="default"/>
        <w:rFonts w:cs="Wingdings"/>
      </w:rPr>
    </w:lvl>
  </w:abstractNum>
  <w:abstractNum w:abstractNumId="73">
    <w:lvl w:ilvl="0">
      <w:start w:val="1"/>
      <w:numFmt w:val="bullet"/>
      <w:lvlText w:val=""/>
      <w:lvlJc w:val="left"/>
      <w:pPr>
        <w:tabs>
          <w:tab w:val="num" w:pos="360"/>
        </w:tabs>
        <w:ind w:left="360" w:hanging="360"/>
      </w:pPr>
      <w:rPr>
        <w:rFonts w:ascii="Wingdings" w:hAnsi="Wingdings" w:cs="Wingdings" w:hint="default"/>
        <w:rFonts w:cs="Wingdings"/>
        <w:lang w:val="bg-BG"/>
      </w:rPr>
    </w:lvl>
  </w:abstractNum>
  <w:abstractNum w:abstractNumId="74">
    <w:lvl w:ilvl="0">
      <w:start w:val="1"/>
      <w:numFmt w:val="bullet"/>
      <w:lvlText w:val=""/>
      <w:lvlJc w:val="left"/>
      <w:pPr>
        <w:tabs>
          <w:tab w:val="num" w:pos="360"/>
        </w:tabs>
        <w:ind w:left="360" w:hanging="360"/>
      </w:pPr>
      <w:rPr>
        <w:rFonts w:ascii="Wingdings" w:hAnsi="Wingdings" w:cs="Wingdings" w:hint="default"/>
        <w:rFonts w:cs="Times New Roman"/>
      </w:rPr>
    </w:lvl>
  </w:abstractNum>
  <w:abstractNum w:abstractNumId="75">
    <w:lvl w:ilvl="0">
      <w:start w:val="1"/>
      <w:numFmt w:val="decimal"/>
      <w:lvlText w:val="%1."/>
      <w:lvlJc w:val="left"/>
      <w:pPr>
        <w:tabs>
          <w:tab w:val="num" w:pos="360"/>
        </w:tabs>
        <w:ind w:left="360" w:hanging="360"/>
      </w:pPr>
      <w:rPr>
        <w:lang w:val="en-US"/>
      </w:rPr>
    </w:lvl>
  </w:abstractNum>
  <w:abstractNum w:abstractNumId="76">
    <w:lvl w:ilvl="0">
      <w:numFmt w:val="bullet"/>
      <w:lvlText w:val="-"/>
      <w:lvlJc w:val="left"/>
      <w:pPr>
        <w:tabs>
          <w:tab w:val="num" w:pos="420"/>
        </w:tabs>
        <w:ind w:left="420" w:hanging="360"/>
      </w:pPr>
      <w:rPr>
        <w:rFonts w:ascii="Liberation Serif" w:hAnsi="Liberation Serif" w:cs="Liberation Serif" w:hint="default"/>
        <w:lang w:val="bg-BG"/>
      </w:rPr>
    </w:lvl>
  </w:abstractNum>
  <w:abstractNum w:abstractNumId="77">
    <w:lvl w:ilvl="0">
      <w:start w:val="1"/>
      <w:numFmt w:val="bullet"/>
      <w:lvlText w:val=""/>
      <w:lvlJc w:val="left"/>
      <w:pPr>
        <w:tabs>
          <w:tab w:val="num" w:pos="360"/>
        </w:tabs>
        <w:ind w:left="360" w:hanging="360"/>
      </w:pPr>
      <w:rPr>
        <w:rFonts w:ascii="Wingdings" w:hAnsi="Wingdings" w:cs="Wingdings" w:hint="default"/>
        <w:rFonts w:cs="Wingdings"/>
      </w:rPr>
    </w:lvl>
  </w:abstractNum>
  <w:abstractNum w:abstractNumId="78">
    <w:lvl w:ilvl="0">
      <w:start w:val="1"/>
      <w:numFmt w:val="bullet"/>
      <w:lvlText w:val=""/>
      <w:lvlJc w:val="left"/>
      <w:pPr>
        <w:tabs>
          <w:tab w:val="num" w:pos="360"/>
        </w:tabs>
        <w:ind w:left="360" w:hanging="360"/>
      </w:pPr>
      <w:rPr>
        <w:rFonts w:ascii="Wingdings" w:hAnsi="Wingdings" w:cs="Wingdings" w:hint="default"/>
        <w:rFonts w:cs="Times New Roman"/>
      </w:rPr>
    </w:lvl>
  </w:abstractNum>
  <w:abstractNum w:abstractNumId="79">
    <w:lvl w:ilvl="0">
      <w:start w:val="1"/>
      <w:numFmt w:val="decimal"/>
      <w:lvlText w:val="%1."/>
      <w:lvlJc w:val="left"/>
      <w:pPr>
        <w:tabs>
          <w:tab w:val="num" w:pos="360"/>
        </w:tabs>
        <w:ind w:left="360" w:hanging="360"/>
      </w:pPr>
      <w:rPr/>
    </w:lvl>
  </w:abstractNum>
  <w:abstractNum w:abstractNumId="80">
    <w:lvl w:ilvl="0">
      <w:start w:val="1"/>
      <w:numFmt w:val="decimal"/>
      <w:lvlText w:val="%1."/>
      <w:lvlJc w:val="left"/>
      <w:pPr>
        <w:tabs>
          <w:tab w:val="num" w:pos="492"/>
        </w:tabs>
        <w:ind w:left="492" w:hanging="492"/>
      </w:pPr>
      <w:rPr>
        <w:b w:val="false"/>
        <w:lang w:val="bg-BG"/>
      </w:rPr>
    </w:lvl>
    <w:lvl w:ilvl="1">
      <w:start w:val="1"/>
      <w:numFmt w:val="decimal"/>
      <w:lvlText w:val="%1.%2."/>
      <w:lvlJc w:val="left"/>
      <w:pPr>
        <w:tabs>
          <w:tab w:val="num" w:pos="1200"/>
        </w:tabs>
        <w:ind w:left="1200" w:hanging="492"/>
      </w:pPr>
      <w:rPr>
        <w:b w:val="false"/>
        <w:lang w:val="bg-BG"/>
      </w:rPr>
    </w:lvl>
    <w:lvl w:ilvl="2">
      <w:start w:val="1"/>
      <w:numFmt w:val="decimal"/>
      <w:lvlText w:val="%1.%2.%3."/>
      <w:lvlJc w:val="left"/>
      <w:pPr>
        <w:tabs>
          <w:tab w:val="num" w:pos="2136"/>
        </w:tabs>
        <w:ind w:left="2136" w:hanging="720"/>
      </w:pPr>
      <w:rPr>
        <w:b w:val="false"/>
        <w:lang w:val="bg-BG"/>
      </w:rPr>
    </w:lvl>
    <w:lvl w:ilvl="3">
      <w:start w:val="1"/>
      <w:numFmt w:val="decimal"/>
      <w:lvlText w:val="%1.%2.%3.%4."/>
      <w:lvlJc w:val="left"/>
      <w:pPr>
        <w:tabs>
          <w:tab w:val="num" w:pos="2844"/>
        </w:tabs>
        <w:ind w:left="2844" w:hanging="720"/>
      </w:pPr>
      <w:rPr>
        <w:b w:val="false"/>
        <w:lang w:val="bg-BG"/>
      </w:rPr>
    </w:lvl>
    <w:lvl w:ilvl="4">
      <w:start w:val="1"/>
      <w:numFmt w:val="decimal"/>
      <w:lvlText w:val="%1.%2.%3.%4.%5."/>
      <w:lvlJc w:val="left"/>
      <w:pPr>
        <w:tabs>
          <w:tab w:val="num" w:pos="3912"/>
        </w:tabs>
        <w:ind w:left="3912" w:hanging="1080"/>
      </w:pPr>
      <w:rPr>
        <w:b w:val="false"/>
        <w:lang w:val="bg-BG"/>
      </w:rPr>
    </w:lvl>
    <w:lvl w:ilvl="5">
      <w:start w:val="1"/>
      <w:numFmt w:val="decimal"/>
      <w:lvlText w:val="%1.%2.%3.%4.%5.%6."/>
      <w:lvlJc w:val="left"/>
      <w:pPr>
        <w:tabs>
          <w:tab w:val="num" w:pos="4620"/>
        </w:tabs>
        <w:ind w:left="4620" w:hanging="1080"/>
      </w:pPr>
      <w:rPr>
        <w:b w:val="false"/>
        <w:lang w:val="bg-BG"/>
      </w:rPr>
    </w:lvl>
    <w:lvl w:ilvl="6">
      <w:start w:val="1"/>
      <w:numFmt w:val="decimal"/>
      <w:lvlText w:val="%1.%2.%3.%4.%5.%6.%7."/>
      <w:lvlJc w:val="left"/>
      <w:pPr>
        <w:tabs>
          <w:tab w:val="num" w:pos="5688"/>
        </w:tabs>
        <w:ind w:left="5688" w:hanging="1440"/>
      </w:pPr>
      <w:rPr>
        <w:b w:val="false"/>
        <w:lang w:val="bg-BG"/>
      </w:rPr>
    </w:lvl>
    <w:lvl w:ilvl="7">
      <w:start w:val="1"/>
      <w:numFmt w:val="decimal"/>
      <w:lvlText w:val="%1.%2.%3.%4.%5.%6.%7.%8."/>
      <w:lvlJc w:val="left"/>
      <w:pPr>
        <w:tabs>
          <w:tab w:val="num" w:pos="6396"/>
        </w:tabs>
        <w:ind w:left="6396" w:hanging="1440"/>
      </w:pPr>
      <w:rPr>
        <w:b w:val="false"/>
        <w:lang w:val="bg-BG"/>
      </w:rPr>
    </w:lvl>
    <w:lvl w:ilvl="8">
      <w:start w:val="1"/>
      <w:numFmt w:val="decimal"/>
      <w:lvlText w:val="%1.%2.%3.%4.%5.%6.%7.%8.%9."/>
      <w:lvlJc w:val="left"/>
      <w:pPr>
        <w:tabs>
          <w:tab w:val="num" w:pos="7464"/>
        </w:tabs>
        <w:ind w:left="7464" w:hanging="1800"/>
      </w:pPr>
      <w:rPr>
        <w:b w:val="false"/>
        <w:lang w:val="bg-BG"/>
      </w:rPr>
    </w:lvl>
  </w:abstractNum>
  <w:abstractNum w:abstractNumId="81">
    <w:lvl w:ilvl="0">
      <w:start w:val="1"/>
      <w:numFmt w:val="bullet"/>
      <w:lvlText w:val=""/>
      <w:lvlJc w:val="left"/>
      <w:pPr>
        <w:tabs>
          <w:tab w:val="num" w:pos="360"/>
        </w:tabs>
        <w:ind w:left="360" w:hanging="360"/>
      </w:pPr>
      <w:rPr>
        <w:rFonts w:ascii="Wingdings" w:hAnsi="Wingdings" w:cs="Wingdings" w:hint="default"/>
        <w:rFonts w:cs="Times New Roman"/>
      </w:rPr>
    </w:lvl>
  </w:abstractNum>
  <w:abstractNum w:abstractNumId="82">
    <w:lvl w:ilvl="0">
      <w:start w:val="1"/>
      <w:numFmt w:val="bullet"/>
      <w:lvlText w:val=""/>
      <w:lvlJc w:val="left"/>
      <w:pPr>
        <w:tabs>
          <w:tab w:val="num" w:pos="360"/>
        </w:tabs>
        <w:ind w:left="360" w:hanging="360"/>
      </w:pPr>
      <w:rPr>
        <w:rFonts w:ascii="Symbol" w:hAnsi="Symbol" w:cs="Symbol" w:hint="default"/>
        <w:rFonts w:cs="Symbol"/>
      </w:rPr>
    </w:lvl>
  </w:abstractNum>
  <w:abstractNum w:abstractNumId="83">
    <w:lvl w:ilvl="0">
      <w:start w:val="1"/>
      <w:numFmt w:val="decimal"/>
      <w:lvlText w:val="%1."/>
      <w:lvlJc w:val="left"/>
      <w:pPr>
        <w:tabs>
          <w:tab w:val="num" w:pos="1080"/>
        </w:tabs>
        <w:ind w:left="1080" w:hanging="360"/>
      </w:pPr>
      <w:rPr/>
    </w:lvl>
    <w:lvl w:ilvl="1">
      <w:start w:val="1"/>
      <w:numFmt w:val="lowerLetter"/>
      <w:lvlText w:val="%2."/>
      <w:lvlJc w:val="left"/>
      <w:pPr>
        <w:tabs>
          <w:tab w:val="num" w:pos="1800"/>
        </w:tabs>
        <w:ind w:left="1800" w:hanging="360"/>
      </w:pPr>
      <w:rPr/>
    </w:lvl>
    <w:lvl w:ilvl="2">
      <w:start w:val="1"/>
      <w:numFmt w:val="lowerRoman"/>
      <w:lvlText w:val="%3."/>
      <w:lvlJc w:val="right"/>
      <w:pPr>
        <w:tabs>
          <w:tab w:val="num" w:pos="2520"/>
        </w:tabs>
        <w:ind w:left="2520" w:hanging="180"/>
      </w:pPr>
      <w:rPr/>
    </w:lvl>
    <w:lvl w:ilvl="3">
      <w:start w:val="1"/>
      <w:numFmt w:val="decimal"/>
      <w:lvlText w:val="%4."/>
      <w:lvlJc w:val="left"/>
      <w:pPr>
        <w:tabs>
          <w:tab w:val="num" w:pos="3240"/>
        </w:tabs>
        <w:ind w:left="3240" w:hanging="360"/>
      </w:pPr>
      <w:rPr/>
    </w:lvl>
    <w:lvl w:ilvl="4">
      <w:start w:val="1"/>
      <w:numFmt w:val="lowerLetter"/>
      <w:lvlText w:val="%5."/>
      <w:lvlJc w:val="left"/>
      <w:pPr>
        <w:tabs>
          <w:tab w:val="num" w:pos="3960"/>
        </w:tabs>
        <w:ind w:left="3960" w:hanging="360"/>
      </w:pPr>
      <w:rPr/>
    </w:lvl>
    <w:lvl w:ilvl="5">
      <w:start w:val="1"/>
      <w:numFmt w:val="lowerRoman"/>
      <w:lvlText w:val="%6."/>
      <w:lvlJc w:val="right"/>
      <w:pPr>
        <w:tabs>
          <w:tab w:val="num" w:pos="4680"/>
        </w:tabs>
        <w:ind w:left="4680" w:hanging="180"/>
      </w:pPr>
      <w:rPr/>
    </w:lvl>
    <w:lvl w:ilvl="6">
      <w:start w:val="1"/>
      <w:numFmt w:val="decimal"/>
      <w:lvlText w:val="%7."/>
      <w:lvlJc w:val="left"/>
      <w:pPr>
        <w:tabs>
          <w:tab w:val="num" w:pos="5400"/>
        </w:tabs>
        <w:ind w:left="5400" w:hanging="360"/>
      </w:pPr>
      <w:rPr/>
    </w:lvl>
    <w:lvl w:ilvl="7">
      <w:start w:val="1"/>
      <w:numFmt w:val="lowerLetter"/>
      <w:lvlText w:val="%8."/>
      <w:lvlJc w:val="left"/>
      <w:pPr>
        <w:tabs>
          <w:tab w:val="num" w:pos="6120"/>
        </w:tabs>
        <w:ind w:left="6120" w:hanging="360"/>
      </w:pPr>
      <w:rPr/>
    </w:lvl>
    <w:lvl w:ilvl="8">
      <w:start w:val="1"/>
      <w:numFmt w:val="lowerRoman"/>
      <w:lvlText w:val="%9."/>
      <w:lvlJc w:val="right"/>
      <w:pPr>
        <w:tabs>
          <w:tab w:val="num" w:pos="6840"/>
        </w:tabs>
        <w:ind w:left="6840" w:hanging="180"/>
      </w:pPr>
      <w:rPr/>
    </w:lvl>
  </w:abstractNum>
  <w:abstractNum w:abstractNumId="84">
    <w:lvl w:ilvl="0">
      <w:start w:val="1"/>
      <w:numFmt w:val="bullet"/>
      <w:lvlText w:val=""/>
      <w:lvlJc w:val="left"/>
      <w:pPr>
        <w:tabs>
          <w:tab w:val="num" w:pos="360"/>
        </w:tabs>
        <w:ind w:left="360" w:hanging="360"/>
      </w:pPr>
      <w:rPr>
        <w:rFonts w:ascii="Wingdings" w:hAnsi="Wingdings" w:cs="Wingdings" w:hint="default"/>
        <w:rFonts w:cs="Wingdings"/>
      </w:rPr>
    </w:lvl>
  </w:abstractNum>
  <w:abstractNum w:abstractNumId="85">
    <w:lvl w:ilvl="0">
      <w:start w:val="1"/>
      <w:numFmt w:val="bullet"/>
      <w:lvlText w:val=""/>
      <w:lvlJc w:val="left"/>
      <w:pPr>
        <w:tabs>
          <w:tab w:val="num" w:pos="360"/>
        </w:tabs>
        <w:ind w:left="360" w:hanging="360"/>
      </w:pPr>
      <w:rPr>
        <w:rFonts w:ascii="Wingdings" w:hAnsi="Wingdings" w:cs="Wingdings" w:hint="default"/>
        <w:sz w:val="28"/>
        <w:rFonts w:cs="Times New Roman"/>
      </w:rPr>
    </w:lvl>
  </w:abstractNum>
  <w:abstractNum w:abstractNumId="86">
    <w:lvl w:ilvl="0">
      <w:start w:val="1"/>
      <w:numFmt w:val="decimal"/>
      <w:lvlText w:val="%1."/>
      <w:lvlJc w:val="left"/>
      <w:pPr>
        <w:tabs>
          <w:tab w:val="num" w:pos="660"/>
        </w:tabs>
        <w:ind w:left="660" w:hanging="360"/>
      </w:pPr>
      <w:rPr/>
    </w:lvl>
  </w:abstractNum>
  <w:abstractNum w:abstractNumId="87">
    <w:lvl w:ilvl="0">
      <w:start w:val="1"/>
      <w:numFmt w:val="bullet"/>
      <w:lvlText w:val=""/>
      <w:lvlJc w:val="left"/>
      <w:pPr>
        <w:tabs>
          <w:tab w:val="num" w:pos="360"/>
        </w:tabs>
        <w:ind w:left="360" w:hanging="360"/>
      </w:pPr>
      <w:rPr>
        <w:rFonts w:ascii="Wingdings" w:hAnsi="Wingdings" w:cs="Wingdings" w:hint="default"/>
        <w:rFonts w:cs="Times New Roman"/>
      </w:rPr>
    </w:lvl>
  </w:abstractNum>
  <w:abstractNum w:abstractNumId="88">
    <w:lvl w:ilvl="0">
      <w:start w:val="1"/>
      <w:numFmt w:val="bullet"/>
      <w:lvlText w:val="-"/>
      <w:lvlJc w:val="left"/>
      <w:pPr>
        <w:tabs>
          <w:tab w:val="num" w:pos="360"/>
        </w:tabs>
        <w:ind w:left="360" w:hanging="360"/>
      </w:pPr>
      <w:rPr>
        <w:rFonts w:ascii="Liberation Serif" w:hAnsi="Liberation Serif" w:cs="Liberation Serif" w:hint="default"/>
      </w:rPr>
    </w:lvl>
  </w:abstractNum>
  <w:abstractNum w:abstractNumId="89">
    <w:lvl w:ilvl="0">
      <w:start w:val="1"/>
      <w:numFmt w:val="bullet"/>
      <w:lvlText w:val=""/>
      <w:lvlJc w:val="left"/>
      <w:pPr>
        <w:tabs>
          <w:tab w:val="num" w:pos="360"/>
        </w:tabs>
        <w:ind w:left="360" w:hanging="360"/>
      </w:pPr>
      <w:rPr>
        <w:rFonts w:ascii="Symbol" w:hAnsi="Symbol" w:cs="Symbol" w:hint="default"/>
        <w:rFonts w:cs="Symbol"/>
      </w:rPr>
    </w:lvl>
  </w:abstractNum>
  <w:abstractNum w:abstractNumId="90">
    <w:lvl w:ilvl="0">
      <w:start w:val="1"/>
      <w:numFmt w:val="decimal"/>
      <w:lvlText w:val="%1."/>
      <w:lvlJc w:val="left"/>
      <w:pPr>
        <w:tabs>
          <w:tab w:val="num" w:pos="720"/>
        </w:tabs>
        <w:ind w:left="720" w:hanging="360"/>
      </w:pPr>
      <w:rPr/>
    </w:lvl>
  </w:abstractNum>
  <w:abstractNum w:abstractNumId="91">
    <w:lvl w:ilvl="0">
      <w:start w:val="1"/>
      <w:numFmt w:val="bullet"/>
      <w:lvlText w:val=""/>
      <w:lvlJc w:val="left"/>
      <w:pPr>
        <w:tabs>
          <w:tab w:val="num" w:pos="360"/>
        </w:tabs>
        <w:ind w:left="360" w:hanging="360"/>
      </w:pPr>
      <w:rPr>
        <w:rFonts w:ascii="Wingdings" w:hAnsi="Wingdings" w:cs="Wingdings" w:hint="default"/>
        <w:rFonts w:cs="Wingdings"/>
      </w:rPr>
    </w:lvl>
  </w:abstractNum>
  <w:abstractNum w:abstractNumId="92">
    <w:lvl w:ilvl="0">
      <w:start w:val="1"/>
      <w:numFmt w:val="bullet"/>
      <w:lvlText w:val=""/>
      <w:lvlJc w:val="left"/>
      <w:pPr>
        <w:tabs>
          <w:tab w:val="num" w:pos="927"/>
        </w:tabs>
        <w:ind w:left="927" w:hanging="360"/>
      </w:pPr>
      <w:rPr>
        <w:rFonts w:ascii="Symbol" w:hAnsi="Symbol" w:cs="Symbol" w:hint="default"/>
        <w:rFonts w:cs="Times New Roman"/>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bering>
</file>

<file path=word/settings.xml><?xml version="1.0" encoding="utf-8"?>
<w:settings xmlns:w="http://schemas.openxmlformats.org/wordprocessingml/2006/main">
  <w:zoom w:val="bestFit" w:percent="145"/>
  <w:mirrorMargins/>
  <w:defaultTabStop w:val="284"/>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suppressAutoHyphens w:val="false"/>
      <w:overflowPunct w:val="false"/>
      <w:autoSpaceDE w:val="false"/>
      <w:bidi w:val="0"/>
      <w:spacing w:lineRule="auto" w:line="360"/>
      <w:jc w:val="both"/>
      <w:textAlignment w:val="baseline"/>
    </w:pPr>
    <w:rPr>
      <w:rFonts w:ascii="Times New Roman" w:hAnsi="Times New Roman" w:eastAsia="Times New Roman" w:cs="Times New Roman"/>
      <w:color w:val="auto"/>
      <w:sz w:val="28"/>
      <w:szCs w:val="20"/>
      <w:lang w:val="bg-BG" w:bidi="ar-SA" w:eastAsia="zh-CN"/>
    </w:rPr>
  </w:style>
  <w:style w:type="paragraph" w:styleId="Heading1">
    <w:name w:val="Heading 1"/>
    <w:basedOn w:val="NormalText"/>
    <w:next w:val="NormalText"/>
    <w:qFormat/>
    <w:pPr>
      <w:keepNext w:val="true"/>
      <w:keepLines/>
      <w:pageBreakBefore/>
      <w:suppressAutoHyphens w:val="true"/>
      <w:spacing w:lineRule="auto" w:line="316" w:before="0" w:after="280"/>
      <w:ind w:hanging="0"/>
      <w:jc w:val="center"/>
      <w:outlineLvl w:val="0"/>
    </w:pPr>
    <w:rPr>
      <w:b/>
      <w:caps/>
      <w:shadow/>
      <w:kern w:val="2"/>
      <w:sz w:val="34"/>
      <w:lang w:val="bg-BG"/>
    </w:rPr>
  </w:style>
  <w:style w:type="paragraph" w:styleId="Heading2">
    <w:name w:val="Heading 2"/>
    <w:basedOn w:val="NormalText"/>
    <w:next w:val="NormalText"/>
    <w:qFormat/>
    <w:pPr>
      <w:keepNext w:val="true"/>
      <w:keepLines/>
      <w:suppressAutoHyphens w:val="true"/>
      <w:spacing w:lineRule="auto" w:line="288" w:before="320" w:after="180"/>
      <w:ind w:hanging="0"/>
      <w:jc w:val="left"/>
      <w:outlineLvl w:val="1"/>
    </w:pPr>
    <w:rPr>
      <w:b/>
      <w:sz w:val="32"/>
      <w:lang w:val="en-US"/>
    </w:rPr>
  </w:style>
  <w:style w:type="paragraph" w:styleId="Heading3">
    <w:name w:val="Heading 3"/>
    <w:basedOn w:val="NormalText"/>
    <w:next w:val="NormalText"/>
    <w:qFormat/>
    <w:pPr>
      <w:ind w:firstLine="567"/>
      <w:jc w:val="left"/>
      <w:outlineLvl w:val="2"/>
    </w:pPr>
    <w:rPr>
      <w:b/>
      <w:iCs/>
      <w:lang w:val="en-US"/>
    </w:rPr>
  </w:style>
  <w:style w:type="paragraph" w:styleId="Heading4">
    <w:name w:val="Heading 4"/>
    <w:basedOn w:val="NormalText"/>
    <w:next w:val="NormalText"/>
    <w:qFormat/>
    <w:pPr>
      <w:keepNext w:val="true"/>
      <w:keepLines/>
      <w:suppressAutoHyphens w:val="true"/>
      <w:spacing w:lineRule="auto" w:line="288" w:before="280" w:after="180"/>
      <w:ind w:hanging="0"/>
      <w:jc w:val="left"/>
      <w:outlineLvl w:val="3"/>
    </w:pPr>
    <w:rPr>
      <w:b/>
      <w:bCs/>
      <w:iCs/>
    </w:rPr>
  </w:style>
  <w:style w:type="paragraph" w:styleId="Heading5">
    <w:name w:val="Heading 5"/>
    <w:basedOn w:val="NormalText"/>
    <w:next w:val="NormalText"/>
    <w:qFormat/>
    <w:pPr>
      <w:keepNext w:val="true"/>
      <w:keepLines/>
      <w:suppressAutoHyphens w:val="true"/>
      <w:spacing w:lineRule="auto" w:line="288" w:before="280" w:after="180"/>
      <w:ind w:hanging="0"/>
      <w:jc w:val="left"/>
      <w:outlineLvl w:val="4"/>
    </w:pPr>
    <w:rPr>
      <w:rFonts w:ascii="Tahoma" w:hAnsi="Tahoma" w:cs="Tahoma"/>
      <w:b/>
      <w:bCs/>
      <w:i/>
      <w:iCs/>
      <w:spacing w:val="-4"/>
      <w:w w:val="95"/>
    </w:rPr>
  </w:style>
  <w:style w:type="paragraph" w:styleId="Heading6">
    <w:name w:val="Heading 6"/>
    <w:basedOn w:val="NormalText"/>
    <w:next w:val="NormalText"/>
    <w:qFormat/>
    <w:pPr>
      <w:keepNext w:val="true"/>
      <w:keepLines/>
      <w:suppressAutoHyphens w:val="true"/>
      <w:spacing w:lineRule="auto" w:line="288" w:before="280" w:after="180"/>
      <w:ind w:hanging="0"/>
      <w:jc w:val="left"/>
      <w:outlineLvl w:val="5"/>
    </w:pPr>
    <w:rPr>
      <w:b/>
      <w:bCs/>
    </w:rPr>
  </w:style>
  <w:style w:type="paragraph" w:styleId="Heading7">
    <w:name w:val="Heading 7"/>
    <w:basedOn w:val="NormalText"/>
    <w:next w:val="NormalText"/>
    <w:qFormat/>
    <w:pPr>
      <w:keepNext w:val="true"/>
      <w:keepLines/>
      <w:numPr>
        <w:ilvl w:val="0"/>
        <w:numId w:val="33"/>
      </w:numPr>
      <w:tabs>
        <w:tab w:val="clear" w:pos="284"/>
        <w:tab w:val="left" w:pos="227" w:leader="none"/>
      </w:tabs>
      <w:spacing w:lineRule="auto" w:line="288" w:before="280" w:after="180"/>
      <w:ind w:left="227" w:hanging="227"/>
      <w:jc w:val="left"/>
      <w:outlineLvl w:val="6"/>
    </w:pPr>
    <w:rPr>
      <w:rFonts w:cs="Arial"/>
      <w:b/>
      <w:bCs/>
    </w:rPr>
  </w:style>
  <w:style w:type="paragraph" w:styleId="Heading8">
    <w:name w:val="Heading 8"/>
    <w:basedOn w:val="Normal"/>
    <w:next w:val="Normal"/>
    <w:qFormat/>
    <w:pPr>
      <w:keepNext w:val="true"/>
      <w:overflowPunct w:val="true"/>
      <w:autoSpaceDE w:val="true"/>
      <w:spacing w:lineRule="auto" w:line="240"/>
      <w:ind w:right="-1" w:firstLine="284"/>
      <w:jc w:val="center"/>
      <w:textAlignment w:val="auto"/>
      <w:outlineLvl w:val="7"/>
    </w:pPr>
    <w:rPr>
      <w:b/>
      <w:bCs/>
      <w:caps/>
      <w:u w:val="single"/>
    </w:rPr>
  </w:style>
  <w:style w:type="paragraph" w:styleId="Heading9">
    <w:name w:val="Heading 9"/>
    <w:basedOn w:val="Normal"/>
    <w:next w:val="Normal"/>
    <w:qFormat/>
    <w:pPr>
      <w:keepNext w:val="true"/>
      <w:overflowPunct w:val="true"/>
      <w:autoSpaceDE w:val="true"/>
      <w:spacing w:lineRule="auto" w:line="240"/>
      <w:ind w:left="60" w:hanging="0"/>
      <w:jc w:val="left"/>
      <w:textAlignment w:val="auto"/>
      <w:outlineLvl w:val="8"/>
    </w:pPr>
    <w:rPr>
      <w:b/>
      <w:sz w:val="20"/>
    </w:rPr>
  </w:style>
  <w:style w:type="character" w:styleId="WW8Num1z0">
    <w:name w:val="WW8Num1z0"/>
    <w:qFormat/>
    <w:rPr/>
  </w:style>
  <w:style w:type="character" w:styleId="WW8Num2z0">
    <w:name w:val="WW8Num2z0"/>
    <w:qFormat/>
    <w:rPr/>
  </w:style>
  <w:style w:type="character" w:styleId="WW8Num3z0">
    <w:name w:val="WW8Num3z0"/>
    <w:qFormat/>
    <w:rPr>
      <w:rFonts w:ascii="Symbol" w:hAnsi="Symbol" w:cs="Symbol"/>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4z0">
    <w:name w:val="WW8Num4z0"/>
    <w:qFormat/>
    <w:rPr/>
  </w:style>
  <w:style w:type="character" w:styleId="WW8Num5z0">
    <w:name w:val="WW8Num5z0"/>
    <w:qFormat/>
    <w:rPr>
      <w:rFonts w:ascii="Wingdings" w:hAnsi="Wingdings" w:cs="Wingdings"/>
      <w:lang w:val="bg-BG"/>
    </w:rPr>
  </w:style>
  <w:style w:type="character" w:styleId="WW8Num6z0">
    <w:name w:val="WW8Num6z0"/>
    <w:qFormat/>
    <w:rPr>
      <w:rFonts w:ascii="Wingdings" w:hAnsi="Wingdings" w:cs="Wingdings"/>
    </w:rPr>
  </w:style>
  <w:style w:type="character" w:styleId="WW8Num7z0">
    <w:name w:val="WW8Num7z0"/>
    <w:qFormat/>
    <w:rPr>
      <w:rFonts w:ascii="Symbol" w:hAnsi="Symbol" w:cs="Symbol"/>
      <w:lang w:val="bg-BG"/>
    </w:rPr>
  </w:style>
  <w:style w:type="character" w:styleId="WW8Num8z0">
    <w:name w:val="WW8Num8z0"/>
    <w:qFormat/>
    <w:rPr>
      <w:rFonts w:ascii="Wingdings" w:hAnsi="Wingdings" w:cs="Wingdings"/>
      <w:lang w:val="bg-BG"/>
    </w:rPr>
  </w:style>
  <w:style w:type="character" w:styleId="WW8Num9z0">
    <w:name w:val="WW8Num9z0"/>
    <w:qFormat/>
    <w:rPr>
      <w:rFonts w:ascii="Wingdings" w:hAnsi="Wingdings" w:cs="Wingdings"/>
      <w:lang w:val="bg-BG"/>
    </w:rPr>
  </w:style>
  <w:style w:type="character" w:styleId="WW8Num10z0">
    <w:name w:val="WW8Num10z0"/>
    <w:qFormat/>
    <w:rPr/>
  </w:style>
  <w:style w:type="character" w:styleId="WW8Num11z0">
    <w:name w:val="WW8Num11z0"/>
    <w:qFormat/>
    <w:rPr>
      <w:rFonts w:ascii="Symbol" w:hAnsi="Symbol" w:cs="Symbol"/>
    </w:rPr>
  </w:style>
  <w:style w:type="character" w:styleId="WW8Num11z1">
    <w:name w:val="WW8Num11z1"/>
    <w:qFormat/>
    <w:rPr>
      <w:rFonts w:ascii="Courier New" w:hAnsi="Courier New" w:cs="Courier New"/>
    </w:rPr>
  </w:style>
  <w:style w:type="character" w:styleId="WW8Num11z2">
    <w:name w:val="WW8Num11z2"/>
    <w:qFormat/>
    <w:rPr>
      <w:rFonts w:ascii="Wingdings" w:hAnsi="Wingdings" w:cs="Wingdings"/>
    </w:rPr>
  </w:style>
  <w:style w:type="character" w:styleId="WW8Num12z0">
    <w:name w:val="WW8Num12z0"/>
    <w:qFormat/>
    <w:rPr/>
  </w:style>
  <w:style w:type="character" w:styleId="WW8Num13z0">
    <w:name w:val="WW8Num13z0"/>
    <w:qFormat/>
    <w:rPr>
      <w:rFonts w:ascii="Symbol" w:hAnsi="Symbol" w:cs="Symbol"/>
    </w:rPr>
  </w:style>
  <w:style w:type="character" w:styleId="WW8Num14z0">
    <w:name w:val="WW8Num14z0"/>
    <w:qFormat/>
    <w:rPr>
      <w:b/>
      <w:lang w:val="bg-BG"/>
    </w:rPr>
  </w:style>
  <w:style w:type="character" w:styleId="WW8Num15z0">
    <w:name w:val="WW8Num15z0"/>
    <w:qFormat/>
    <w:rPr>
      <w:lang w:val="en-US"/>
    </w:rPr>
  </w:style>
  <w:style w:type="character" w:styleId="WW8Num16z0">
    <w:name w:val="WW8Num16z0"/>
    <w:qFormat/>
    <w:rPr>
      <w:rFonts w:ascii="Symbol" w:hAnsi="Symbol" w:cs="Symbol"/>
    </w:rPr>
  </w:style>
  <w:style w:type="character" w:styleId="WW8Num16z1">
    <w:name w:val="WW8Num16z1"/>
    <w:qFormat/>
    <w:rPr>
      <w:rFonts w:ascii="Courier New" w:hAnsi="Courier New" w:cs="Courier New"/>
    </w:rPr>
  </w:style>
  <w:style w:type="character" w:styleId="WW8Num16z2">
    <w:name w:val="WW8Num16z2"/>
    <w:qFormat/>
    <w:rPr>
      <w:rFonts w:ascii="Wingdings" w:hAnsi="Wingdings" w:cs="Wingdings"/>
    </w:rPr>
  </w:style>
  <w:style w:type="character" w:styleId="WW8Num17z0">
    <w:name w:val="WW8Num17z0"/>
    <w:qFormat/>
    <w:rPr>
      <w:rFonts w:ascii="Wingdings" w:hAnsi="Wingdings" w:cs="Wingdings"/>
      <w:sz w:val="16"/>
      <w:lang w:val="bg-BG"/>
    </w:rPr>
  </w:style>
  <w:style w:type="character" w:styleId="WW8Num18z0">
    <w:name w:val="WW8Num18z0"/>
    <w:qFormat/>
    <w:rPr>
      <w:rFonts w:ascii="Wingdings" w:hAnsi="Wingdings" w:cs="Wingdings"/>
    </w:rPr>
  </w:style>
  <w:style w:type="character" w:styleId="WW8Num19z0">
    <w:name w:val="WW8Num19z0"/>
    <w:qFormat/>
    <w:rPr/>
  </w:style>
  <w:style w:type="character" w:styleId="WW8Num20z0">
    <w:name w:val="WW8Num20z0"/>
    <w:qFormat/>
    <w:rPr/>
  </w:style>
  <w:style w:type="character" w:styleId="WW8Num21z0">
    <w:name w:val="WW8Num21z0"/>
    <w:qFormat/>
    <w:rPr>
      <w:rFonts w:ascii="Symbol" w:hAnsi="Symbol" w:cs="Symbol"/>
    </w:rPr>
  </w:style>
  <w:style w:type="character" w:styleId="WW8Num22z0">
    <w:name w:val="WW8Num22z0"/>
    <w:qFormat/>
    <w:rPr>
      <w:rFonts w:ascii="Symbol" w:hAnsi="Symbol" w:cs="Symbol"/>
      <w:lang w:val="bg-BG"/>
    </w:rPr>
  </w:style>
  <w:style w:type="character" w:styleId="WW8Num23z0">
    <w:name w:val="WW8Num23z0"/>
    <w:qFormat/>
    <w:rPr>
      <w:b w:val="false"/>
      <w:lang w:val="bg-BG"/>
    </w:rPr>
  </w:style>
  <w:style w:type="character" w:styleId="WW8Num24z0">
    <w:name w:val="WW8Num24z0"/>
    <w:qFormat/>
    <w:rPr>
      <w:rFonts w:ascii="Symbol" w:hAnsi="Symbol" w:cs="Times New Roman"/>
    </w:rPr>
  </w:style>
  <w:style w:type="character" w:styleId="WW8Num24z1">
    <w:name w:val="WW8Num24z1"/>
    <w:qFormat/>
    <w:rPr>
      <w:rFonts w:ascii="Courier New" w:hAnsi="Courier New" w:cs="Courier New"/>
    </w:rPr>
  </w:style>
  <w:style w:type="character" w:styleId="WW8Num24z2">
    <w:name w:val="WW8Num24z2"/>
    <w:qFormat/>
    <w:rPr>
      <w:rFonts w:ascii="Wingdings" w:hAnsi="Wingdings" w:cs="Wingdings"/>
    </w:rPr>
  </w:style>
  <w:style w:type="character" w:styleId="WW8Num24z3">
    <w:name w:val="WW8Num24z3"/>
    <w:qFormat/>
    <w:rPr>
      <w:rFonts w:ascii="Symbol" w:hAnsi="Symbol" w:cs="Symbol"/>
    </w:rPr>
  </w:style>
  <w:style w:type="character" w:styleId="WW8Num25z0">
    <w:name w:val="WW8Num25z0"/>
    <w:qFormat/>
    <w:rPr>
      <w:b w:val="false"/>
      <w:lang w:val="bg-BG"/>
    </w:rPr>
  </w:style>
  <w:style w:type="character" w:styleId="WW8Num26z0">
    <w:name w:val="WW8Num26z0"/>
    <w:qFormat/>
    <w:rPr>
      <w:rFonts w:ascii="Symbol" w:hAnsi="Symbol" w:cs="Symbol"/>
      <w:sz w:val="24"/>
      <w:lang w:val="bg-BG"/>
    </w:rPr>
  </w:style>
  <w:style w:type="character" w:styleId="WW8Num27z0">
    <w:name w:val="WW8Num27z0"/>
    <w:qFormat/>
    <w:rPr/>
  </w:style>
  <w:style w:type="character" w:styleId="WW8Num28z0">
    <w:name w:val="WW8Num28z0"/>
    <w:qFormat/>
    <w:rPr>
      <w:rFonts w:ascii="Symbol" w:hAnsi="Symbol" w:cs="Times New Roman"/>
    </w:rPr>
  </w:style>
  <w:style w:type="character" w:styleId="WW8Num28z1">
    <w:name w:val="WW8Num28z1"/>
    <w:qFormat/>
    <w:rPr>
      <w:rFonts w:ascii="Courier New" w:hAnsi="Courier New" w:cs="Courier New"/>
    </w:rPr>
  </w:style>
  <w:style w:type="character" w:styleId="WW8Num28z2">
    <w:name w:val="WW8Num28z2"/>
    <w:qFormat/>
    <w:rPr>
      <w:rFonts w:ascii="Wingdings" w:hAnsi="Wingdings" w:cs="Wingdings"/>
    </w:rPr>
  </w:style>
  <w:style w:type="character" w:styleId="WW8Num28z3">
    <w:name w:val="WW8Num28z3"/>
    <w:qFormat/>
    <w:rPr>
      <w:rFonts w:ascii="Symbol" w:hAnsi="Symbol" w:cs="Symbol"/>
    </w:rPr>
  </w:style>
  <w:style w:type="character" w:styleId="WW8Num29z0">
    <w:name w:val="WW8Num29z0"/>
    <w:qFormat/>
    <w:rPr>
      <w:rFonts w:ascii="Wingdings" w:hAnsi="Wingdings" w:cs="Times New Roman"/>
      <w:sz w:val="28"/>
    </w:rPr>
  </w:style>
  <w:style w:type="character" w:styleId="WW8Num30z0">
    <w:name w:val="WW8Num30z0"/>
    <w:qFormat/>
    <w:rPr>
      <w:rFonts w:ascii="Wingdings" w:hAnsi="Wingdings" w:cs="Wingdings"/>
    </w:rPr>
  </w:style>
  <w:style w:type="character" w:styleId="WW8Num31z0">
    <w:name w:val="WW8Num31z0"/>
    <w:qFormat/>
    <w:rPr/>
  </w:style>
  <w:style w:type="character" w:styleId="WW8Num32z0">
    <w:name w:val="WW8Num32z0"/>
    <w:qFormat/>
    <w:rPr>
      <w:rFonts w:ascii="Symbol" w:hAnsi="Symbol" w:cs="Symbol"/>
    </w:rPr>
  </w:style>
  <w:style w:type="character" w:styleId="WW8Num32z1">
    <w:name w:val="WW8Num32z1"/>
    <w:qFormat/>
    <w:rPr>
      <w:rFonts w:ascii="Courier New" w:hAnsi="Courier New" w:cs="Courier New"/>
    </w:rPr>
  </w:style>
  <w:style w:type="character" w:styleId="WW8Num32z2">
    <w:name w:val="WW8Num32z2"/>
    <w:qFormat/>
    <w:rPr>
      <w:rFonts w:ascii="Wingdings" w:hAnsi="Wingdings" w:cs="Wingdings"/>
    </w:rPr>
  </w:style>
  <w:style w:type="character" w:styleId="WW8Num33z0">
    <w:name w:val="WW8Num33z0"/>
    <w:qFormat/>
    <w:rPr>
      <w:rFonts w:ascii="Symbol" w:hAnsi="Symbol" w:cs="Symbol"/>
    </w:rPr>
  </w:style>
  <w:style w:type="character" w:styleId="WW8Num34z0">
    <w:name w:val="WW8Num34z0"/>
    <w:qFormat/>
    <w:rPr>
      <w:b w:val="false"/>
      <w:lang w:val="bg-BG"/>
    </w:rPr>
  </w:style>
  <w:style w:type="character" w:styleId="WW8Num35z0">
    <w:name w:val="WW8Num35z0"/>
    <w:qFormat/>
    <w:rPr>
      <w:rFonts w:ascii="Wingdings" w:hAnsi="Wingdings" w:cs="Wingdings"/>
    </w:rPr>
  </w:style>
  <w:style w:type="character" w:styleId="WW8Num35z1">
    <w:name w:val="WW8Num35z1"/>
    <w:qFormat/>
    <w:rPr>
      <w:rFonts w:ascii="Courier New" w:hAnsi="Courier New" w:cs="Courier New"/>
    </w:rPr>
  </w:style>
  <w:style w:type="character" w:styleId="WW8Num35z3">
    <w:name w:val="WW8Num35z3"/>
    <w:qFormat/>
    <w:rPr>
      <w:rFonts w:ascii="Symbol" w:hAnsi="Symbol" w:cs="Symbol"/>
    </w:rPr>
  </w:style>
  <w:style w:type="character" w:styleId="WW8Num36z0">
    <w:name w:val="WW8Num36z0"/>
    <w:qFormat/>
    <w:rPr>
      <w:rFonts w:ascii="Wingdings" w:hAnsi="Wingdings" w:cs="Wingdings"/>
      <w:lang w:val="bg-BG"/>
    </w:rPr>
  </w:style>
  <w:style w:type="character" w:styleId="WW8Num37z0">
    <w:name w:val="WW8Num37z0"/>
    <w:qFormat/>
    <w:rPr>
      <w:rFonts w:ascii="Wingdings" w:hAnsi="Wingdings" w:cs="Wingdings"/>
      <w:lang w:val="bg-BG"/>
    </w:rPr>
  </w:style>
  <w:style w:type="character" w:styleId="WW8Num38z0">
    <w:name w:val="WW8Num38z0"/>
    <w:qFormat/>
    <w:rPr>
      <w:rFonts w:ascii="Symbol" w:hAnsi="Symbol" w:cs="Symbol"/>
    </w:rPr>
  </w:style>
  <w:style w:type="character" w:styleId="WW8Num39z0">
    <w:name w:val="WW8Num39z0"/>
    <w:qFormat/>
    <w:rPr>
      <w:rFonts w:ascii="Wingdings" w:hAnsi="Wingdings" w:cs="Wingdings"/>
      <w:lang w:val="bg-BG"/>
    </w:rPr>
  </w:style>
  <w:style w:type="character" w:styleId="WW8Num40z0">
    <w:name w:val="WW8Num40z0"/>
    <w:qFormat/>
    <w:rPr/>
  </w:style>
  <w:style w:type="character" w:styleId="WW8Num41z0">
    <w:name w:val="WW8Num41z0"/>
    <w:qFormat/>
    <w:rPr>
      <w:b w:val="false"/>
      <w:lang w:val="bg-BG"/>
    </w:rPr>
  </w:style>
  <w:style w:type="character" w:styleId="WW8Num42z0">
    <w:name w:val="WW8Num42z0"/>
    <w:qFormat/>
    <w:rPr>
      <w:rFonts w:ascii="Wingdings" w:hAnsi="Wingdings" w:cs="Wingdings"/>
      <w:lang w:val="bg-BG"/>
    </w:rPr>
  </w:style>
  <w:style w:type="character" w:styleId="WW8Num43z0">
    <w:name w:val="WW8Num43z0"/>
    <w:qFormat/>
    <w:rPr>
      <w:b/>
      <w:lang w:val="bg-BG"/>
    </w:rPr>
  </w:style>
  <w:style w:type="character" w:styleId="WW8Num44z0">
    <w:name w:val="WW8Num44z0"/>
    <w:qFormat/>
    <w:rPr>
      <w:b w:val="false"/>
      <w:lang w:val="bg-BG"/>
    </w:rPr>
  </w:style>
  <w:style w:type="character" w:styleId="WW8Num45z0">
    <w:name w:val="WW8Num45z0"/>
    <w:qFormat/>
    <w:rPr>
      <w:rFonts w:ascii="Wingdings" w:hAnsi="Wingdings" w:cs="Wingdings"/>
    </w:rPr>
  </w:style>
  <w:style w:type="character" w:styleId="WW8Num46z0">
    <w:name w:val="WW8Num46z0"/>
    <w:qFormat/>
    <w:rPr/>
  </w:style>
  <w:style w:type="character" w:styleId="WW8Num47z0">
    <w:name w:val="WW8Num47z0"/>
    <w:qFormat/>
    <w:rPr/>
  </w:style>
  <w:style w:type="character" w:styleId="WW8Num48z0">
    <w:name w:val="WW8Num48z0"/>
    <w:qFormat/>
    <w:rPr>
      <w:rFonts w:ascii="Wingdings" w:hAnsi="Wingdings" w:cs="Wingdings"/>
      <w:lang w:val="bg-BG"/>
    </w:rPr>
  </w:style>
  <w:style w:type="character" w:styleId="WW8Num49z0">
    <w:name w:val="WW8Num49z0"/>
    <w:qFormat/>
    <w:rPr>
      <w:rFonts w:ascii="Symbol" w:hAnsi="Symbol" w:cs="Symbol"/>
      <w:lang w:val="bg-BG"/>
    </w:rPr>
  </w:style>
  <w:style w:type="character" w:styleId="WW8Num50z0">
    <w:name w:val="WW8Num50z0"/>
    <w:qFormat/>
    <w:rPr>
      <w:b w:val="false"/>
      <w:lang w:val="bg-BG"/>
    </w:rPr>
  </w:style>
  <w:style w:type="character" w:styleId="WW8Num51z0">
    <w:name w:val="WW8Num51z0"/>
    <w:qFormat/>
    <w:rPr/>
  </w:style>
  <w:style w:type="character" w:styleId="WW8Num52z0">
    <w:name w:val="WW8Num52z0"/>
    <w:qFormat/>
    <w:rPr/>
  </w:style>
  <w:style w:type="character" w:styleId="WW8Num53z0">
    <w:name w:val="WW8Num53z0"/>
    <w:qFormat/>
    <w:rPr/>
  </w:style>
  <w:style w:type="character" w:styleId="WW8Num54z0">
    <w:name w:val="WW8Num54z0"/>
    <w:qFormat/>
    <w:rPr>
      <w:b w:val="false"/>
      <w:lang w:val="bg-BG"/>
    </w:rPr>
  </w:style>
  <w:style w:type="character" w:styleId="WW8Num55z0">
    <w:name w:val="WW8Num55z0"/>
    <w:qFormat/>
    <w:rPr>
      <w:b w:val="false"/>
      <w:lang w:val="bg-BG"/>
    </w:rPr>
  </w:style>
  <w:style w:type="character" w:styleId="WW8Num56z0">
    <w:name w:val="WW8Num56z0"/>
    <w:qFormat/>
    <w:rPr>
      <w:rFonts w:ascii="Symbol" w:hAnsi="Symbol" w:cs="Symbol"/>
    </w:rPr>
  </w:style>
  <w:style w:type="character" w:styleId="WW8Num57z0">
    <w:name w:val="WW8Num57z0"/>
    <w:qFormat/>
    <w:rPr>
      <w:rFonts w:ascii="Wingdings" w:hAnsi="Wingdings" w:cs="Wingdings"/>
    </w:rPr>
  </w:style>
  <w:style w:type="character" w:styleId="WW8Num58z0">
    <w:name w:val="WW8Num58z0"/>
    <w:qFormat/>
    <w:rPr>
      <w:b/>
      <w:lang w:val="bg-BG"/>
    </w:rPr>
  </w:style>
  <w:style w:type="character" w:styleId="WW8Num59z0">
    <w:name w:val="WW8Num59z0"/>
    <w:qFormat/>
    <w:rPr>
      <w:rFonts w:ascii="Wingdings" w:hAnsi="Wingdings" w:cs="Wingdings"/>
      <w:sz w:val="16"/>
    </w:rPr>
  </w:style>
  <w:style w:type="character" w:styleId="WW8Num60z0">
    <w:name w:val="WW8Num60z0"/>
    <w:qFormat/>
    <w:rPr>
      <w:rFonts w:ascii="Wingdings" w:hAnsi="Wingdings" w:cs="Wingdings"/>
      <w:lang w:val="bg-BG"/>
    </w:rPr>
  </w:style>
  <w:style w:type="character" w:styleId="WW8Num61z0">
    <w:name w:val="WW8Num61z0"/>
    <w:qFormat/>
    <w:rPr>
      <w:b w:val="false"/>
      <w:lang w:val="bg-BG"/>
    </w:rPr>
  </w:style>
  <w:style w:type="character" w:styleId="WW8Num62z0">
    <w:name w:val="WW8Num62z0"/>
    <w:qFormat/>
    <w:rPr>
      <w:rFonts w:ascii="Symbol" w:hAnsi="Symbol" w:cs="Symbol"/>
    </w:rPr>
  </w:style>
  <w:style w:type="character" w:styleId="WW8Num62z1">
    <w:name w:val="WW8Num62z1"/>
    <w:qFormat/>
    <w:rPr>
      <w:rFonts w:ascii="Wingdings" w:hAnsi="Wingdings" w:cs="Wingdings"/>
    </w:rPr>
  </w:style>
  <w:style w:type="character" w:styleId="WW8Num62z4">
    <w:name w:val="WW8Num62z4"/>
    <w:qFormat/>
    <w:rPr>
      <w:rFonts w:ascii="Courier New" w:hAnsi="Courier New" w:cs="Courier New"/>
    </w:rPr>
  </w:style>
  <w:style w:type="character" w:styleId="WW8Num63z0">
    <w:name w:val="WW8Num63z0"/>
    <w:qFormat/>
    <w:rPr>
      <w:rFonts w:ascii="Wingdings" w:hAnsi="Wingdings" w:cs="Times New Roman"/>
    </w:rPr>
  </w:style>
  <w:style w:type="character" w:styleId="WW8Num64z0">
    <w:name w:val="WW8Num64z0"/>
    <w:qFormat/>
    <w:rPr>
      <w:rFonts w:ascii="Wingdings" w:hAnsi="Wingdings" w:cs="Wingdings"/>
      <w:lang w:val="bg-BG"/>
    </w:rPr>
  </w:style>
  <w:style w:type="character" w:styleId="WW8Num65z0">
    <w:name w:val="WW8Num65z0"/>
    <w:qFormat/>
    <w:rPr/>
  </w:style>
  <w:style w:type="character" w:styleId="WW8Num66z0">
    <w:name w:val="WW8Num66z0"/>
    <w:qFormat/>
    <w:rPr>
      <w:rFonts w:ascii="Symbol" w:hAnsi="Symbol" w:cs="Symbol"/>
    </w:rPr>
  </w:style>
  <w:style w:type="character" w:styleId="WW8Num67z0">
    <w:name w:val="WW8Num67z0"/>
    <w:qFormat/>
    <w:rPr>
      <w:rFonts w:ascii="Wingdings" w:hAnsi="Wingdings" w:cs="Wingdings"/>
      <w:sz w:val="16"/>
      <w:lang w:val="bg-BG"/>
    </w:rPr>
  </w:style>
  <w:style w:type="character" w:styleId="WW8Num68z0">
    <w:name w:val="WW8Num68z0"/>
    <w:qFormat/>
    <w:rPr>
      <w:b w:val="false"/>
      <w:lang w:val="bg-BG"/>
    </w:rPr>
  </w:style>
  <w:style w:type="character" w:styleId="WW8Num69z0">
    <w:name w:val="WW8Num69z0"/>
    <w:qFormat/>
    <w:rPr>
      <w:rFonts w:ascii="Symbol" w:hAnsi="Symbol" w:cs="Symbol"/>
    </w:rPr>
  </w:style>
  <w:style w:type="character" w:styleId="WW8Num69z1">
    <w:name w:val="WW8Num69z1"/>
    <w:qFormat/>
    <w:rPr>
      <w:rFonts w:ascii="Courier New" w:hAnsi="Courier New" w:cs="Courier New"/>
    </w:rPr>
  </w:style>
  <w:style w:type="character" w:styleId="WW8Num69z2">
    <w:name w:val="WW8Num69z2"/>
    <w:qFormat/>
    <w:rPr>
      <w:rFonts w:ascii="Wingdings" w:hAnsi="Wingdings" w:cs="Wingdings"/>
    </w:rPr>
  </w:style>
  <w:style w:type="character" w:styleId="WW8Num70z0">
    <w:name w:val="WW8Num70z0"/>
    <w:qFormat/>
    <w:rPr>
      <w:rFonts w:ascii="Times New Roman" w:hAnsi="Times New Roman" w:cs="Times New Roman"/>
    </w:rPr>
  </w:style>
  <w:style w:type="character" w:styleId="WW8Num71z0">
    <w:name w:val="WW8Num71z0"/>
    <w:qFormat/>
    <w:rPr>
      <w:rFonts w:ascii="Wingdings" w:hAnsi="Wingdings" w:cs="Wingdings"/>
    </w:rPr>
  </w:style>
  <w:style w:type="character" w:styleId="WW8Num72z0">
    <w:name w:val="WW8Num72z0"/>
    <w:qFormat/>
    <w:rPr>
      <w:rFonts w:ascii="Wingdings" w:hAnsi="Wingdings" w:cs="Wingdings"/>
      <w:lang w:val="bg-BG"/>
    </w:rPr>
  </w:style>
  <w:style w:type="character" w:styleId="WW8Num73z0">
    <w:name w:val="WW8Num73z0"/>
    <w:qFormat/>
    <w:rPr>
      <w:rFonts w:ascii="Wingdings" w:hAnsi="Wingdings" w:cs="Times New Roman"/>
    </w:rPr>
  </w:style>
  <w:style w:type="character" w:styleId="WW8Num74z0">
    <w:name w:val="WW8Num74z0"/>
    <w:qFormat/>
    <w:rPr>
      <w:lang w:val="en-US"/>
    </w:rPr>
  </w:style>
  <w:style w:type="character" w:styleId="WW8Num75z0">
    <w:name w:val="WW8Num75z0"/>
    <w:qFormat/>
    <w:rPr>
      <w:lang w:val="bg-BG"/>
    </w:rPr>
  </w:style>
  <w:style w:type="character" w:styleId="WW8Num76z0">
    <w:name w:val="WW8Num76z0"/>
    <w:qFormat/>
    <w:rPr>
      <w:rFonts w:ascii="Wingdings" w:hAnsi="Wingdings" w:cs="Wingdings"/>
    </w:rPr>
  </w:style>
  <w:style w:type="character" w:styleId="WW8Num77z0">
    <w:name w:val="WW8Num77z0"/>
    <w:qFormat/>
    <w:rPr>
      <w:rFonts w:ascii="Wingdings" w:hAnsi="Wingdings" w:cs="Times New Roman"/>
    </w:rPr>
  </w:style>
  <w:style w:type="character" w:styleId="WW8Num78z0">
    <w:name w:val="WW8Num78z0"/>
    <w:qFormat/>
    <w:rPr/>
  </w:style>
  <w:style w:type="character" w:styleId="WW8Num79z0">
    <w:name w:val="WW8Num79z0"/>
    <w:qFormat/>
    <w:rPr>
      <w:b w:val="false"/>
      <w:lang w:val="bg-BG"/>
    </w:rPr>
  </w:style>
  <w:style w:type="character" w:styleId="WW8Num80z0">
    <w:name w:val="WW8Num80z0"/>
    <w:qFormat/>
    <w:rPr>
      <w:rFonts w:ascii="Wingdings" w:hAnsi="Wingdings" w:cs="Times New Roman"/>
    </w:rPr>
  </w:style>
  <w:style w:type="character" w:styleId="WW8Num81z0">
    <w:name w:val="WW8Num81z0"/>
    <w:qFormat/>
    <w:rPr>
      <w:rFonts w:ascii="Symbol" w:hAnsi="Symbol" w:cs="Symbol"/>
    </w:rPr>
  </w:style>
  <w:style w:type="character" w:styleId="WW8Num82z0">
    <w:name w:val="WW8Num82z0"/>
    <w:qFormat/>
    <w:rPr/>
  </w:style>
  <w:style w:type="character" w:styleId="WW8Num82z1">
    <w:name w:val="WW8Num82z1"/>
    <w:qFormat/>
    <w:rPr/>
  </w:style>
  <w:style w:type="character" w:styleId="WW8Num82z2">
    <w:name w:val="WW8Num82z2"/>
    <w:qFormat/>
    <w:rPr/>
  </w:style>
  <w:style w:type="character" w:styleId="WW8Num82z3">
    <w:name w:val="WW8Num82z3"/>
    <w:qFormat/>
    <w:rPr/>
  </w:style>
  <w:style w:type="character" w:styleId="WW8Num82z4">
    <w:name w:val="WW8Num82z4"/>
    <w:qFormat/>
    <w:rPr/>
  </w:style>
  <w:style w:type="character" w:styleId="WW8Num82z5">
    <w:name w:val="WW8Num82z5"/>
    <w:qFormat/>
    <w:rPr/>
  </w:style>
  <w:style w:type="character" w:styleId="WW8Num82z6">
    <w:name w:val="WW8Num82z6"/>
    <w:qFormat/>
    <w:rPr/>
  </w:style>
  <w:style w:type="character" w:styleId="WW8Num82z7">
    <w:name w:val="WW8Num82z7"/>
    <w:qFormat/>
    <w:rPr/>
  </w:style>
  <w:style w:type="character" w:styleId="WW8Num82z8">
    <w:name w:val="WW8Num82z8"/>
    <w:qFormat/>
    <w:rPr/>
  </w:style>
  <w:style w:type="character" w:styleId="WW8Num83z0">
    <w:name w:val="WW8Num83z0"/>
    <w:qFormat/>
    <w:rPr>
      <w:rFonts w:ascii="Wingdings" w:hAnsi="Wingdings" w:cs="Wingdings"/>
    </w:rPr>
  </w:style>
  <w:style w:type="character" w:styleId="WW8Num84z0">
    <w:name w:val="WW8Num84z0"/>
    <w:qFormat/>
    <w:rPr>
      <w:rFonts w:ascii="Wingdings" w:hAnsi="Wingdings" w:cs="Times New Roman"/>
      <w:sz w:val="28"/>
    </w:rPr>
  </w:style>
  <w:style w:type="character" w:styleId="WW8Num85z0">
    <w:name w:val="WW8Num85z0"/>
    <w:qFormat/>
    <w:rPr/>
  </w:style>
  <w:style w:type="character" w:styleId="WW8Num86z0">
    <w:name w:val="WW8Num86z0"/>
    <w:qFormat/>
    <w:rPr>
      <w:rFonts w:ascii="Wingdings" w:hAnsi="Wingdings" w:cs="Times New Roman"/>
    </w:rPr>
  </w:style>
  <w:style w:type="character" w:styleId="WW8Num87z0">
    <w:name w:val="WW8Num87z0"/>
    <w:qFormat/>
    <w:rPr/>
  </w:style>
  <w:style w:type="character" w:styleId="WW8Num88z0">
    <w:name w:val="WW8Num88z0"/>
    <w:qFormat/>
    <w:rPr>
      <w:rFonts w:ascii="Symbol" w:hAnsi="Symbol" w:cs="Symbol"/>
    </w:rPr>
  </w:style>
  <w:style w:type="character" w:styleId="WW8Num89z0">
    <w:name w:val="WW8Num89z0"/>
    <w:qFormat/>
    <w:rPr/>
  </w:style>
  <w:style w:type="character" w:styleId="WW8Num90z0">
    <w:name w:val="WW8Num90z0"/>
    <w:qFormat/>
    <w:rPr>
      <w:rFonts w:ascii="Wingdings" w:hAnsi="Wingdings" w:cs="Wingdings"/>
    </w:rPr>
  </w:style>
  <w:style w:type="character" w:styleId="WW8Num91z0">
    <w:name w:val="WW8Num91z0"/>
    <w:qFormat/>
    <w:rPr>
      <w:rFonts w:ascii="Symbol" w:hAnsi="Symbol" w:cs="Times New Roman"/>
    </w:rPr>
  </w:style>
  <w:style w:type="character" w:styleId="WW8Num91z1">
    <w:name w:val="WW8Num91z1"/>
    <w:qFormat/>
    <w:rPr>
      <w:rFonts w:ascii="Courier New" w:hAnsi="Courier New" w:cs="Courier New"/>
    </w:rPr>
  </w:style>
  <w:style w:type="character" w:styleId="WW8Num91z2">
    <w:name w:val="WW8Num91z2"/>
    <w:qFormat/>
    <w:rPr>
      <w:rFonts w:ascii="Wingdings" w:hAnsi="Wingdings" w:cs="Wingdings"/>
    </w:rPr>
  </w:style>
  <w:style w:type="character" w:styleId="WW8Num91z3">
    <w:name w:val="WW8Num91z3"/>
    <w:qFormat/>
    <w:rPr>
      <w:rFonts w:ascii="Symbol" w:hAnsi="Symbol" w:cs="Symbol"/>
    </w:rPr>
  </w:style>
  <w:style w:type="character" w:styleId="DefaultParagraphFont">
    <w:name w:val="Default Paragraph Font"/>
    <w:qFormat/>
    <w:rPr/>
  </w:style>
  <w:style w:type="character" w:styleId="Char1">
    <w:name w:val="Char 1"/>
    <w:basedOn w:val="DefaultParagraphFont"/>
    <w:qFormat/>
    <w:rPr>
      <w:b/>
      <w:i/>
      <w:lang w:val="bg-BG"/>
    </w:rPr>
  </w:style>
  <w:style w:type="character" w:styleId="Char2">
    <w:name w:val="Char 2"/>
    <w:basedOn w:val="DefaultParagraphFont"/>
    <w:qFormat/>
    <w:rPr>
      <w:b/>
      <w:lang w:val="bg-BG"/>
    </w:rPr>
  </w:style>
  <w:style w:type="character" w:styleId="Char3">
    <w:name w:val="Char 3"/>
    <w:basedOn w:val="DefaultParagraphFont"/>
    <w:qFormat/>
    <w:rPr>
      <w:i/>
      <w:iCs/>
      <w:lang w:val="bg-BG"/>
    </w:rPr>
  </w:style>
  <w:style w:type="character" w:styleId="Char4">
    <w:name w:val="Char 4"/>
    <w:basedOn w:val="DefaultParagraphFont"/>
    <w:qFormat/>
    <w:rPr>
      <w:u w:val="single"/>
      <w:lang w:val="bg-BG"/>
    </w:rPr>
  </w:style>
  <w:style w:type="character" w:styleId="FootnoteCharacters">
    <w:name w:val="Footnote Characters"/>
    <w:basedOn w:val="DefaultParagraphFont"/>
    <w:qFormat/>
    <w:rPr>
      <w:vertAlign w:val="superscript"/>
    </w:rPr>
  </w:style>
  <w:style w:type="character" w:styleId="InternetLink">
    <w:name w:val="Hyperlink"/>
    <w:basedOn w:val="DefaultParagraphFont"/>
    <w:rPr>
      <w:color w:val="0000FF"/>
      <w:u w:val="single"/>
    </w:rPr>
  </w:style>
  <w:style w:type="character" w:styleId="PageNumber">
    <w:name w:val="Page Number"/>
    <w:basedOn w:val="DefaultParagraphFont"/>
    <w:rPr>
      <w:sz w:val="24"/>
    </w:rPr>
  </w:style>
  <w:style w:type="character" w:styleId="Heading3CharChar">
    <w:name w:val="Heading 3 Char Char"/>
    <w:basedOn w:val="DefaultParagraphFont"/>
    <w:qFormat/>
    <w:rPr>
      <w:rFonts w:ascii="Arial" w:hAnsi="Arial" w:cs="Arial"/>
      <w:sz w:val="24"/>
      <w:szCs w:val="24"/>
      <w:lang w:val="en-US"/>
    </w:rPr>
  </w:style>
  <w:style w:type="character" w:styleId="IndexLink">
    <w:name w:val="Index Link"/>
    <w:qFormat/>
    <w:rPr/>
  </w:style>
  <w:style w:type="paragraph" w:styleId="Heading">
    <w:name w:val="Heading"/>
    <w:basedOn w:val="Normal"/>
    <w:next w:val="TextBody"/>
    <w:qFormat/>
    <w:pPr>
      <w:tabs>
        <w:tab w:val="left" w:pos="284" w:leader="none"/>
      </w:tabs>
      <w:overflowPunct w:val="true"/>
      <w:autoSpaceDE w:val="true"/>
      <w:spacing w:lineRule="auto" w:line="240"/>
      <w:ind w:right="-1" w:hanging="0"/>
      <w:jc w:val="center"/>
      <w:textAlignment w:val="auto"/>
    </w:pPr>
    <w:rPr>
      <w:b/>
      <w:bCs/>
      <w:u w:val="single"/>
    </w:rPr>
  </w:style>
  <w:style w:type="paragraph" w:styleId="TextBody">
    <w:name w:val="Body Text"/>
    <w:basedOn w:val="Normal"/>
    <w:pPr>
      <w:overflowPunct w:val="true"/>
      <w:autoSpaceDE w:val="true"/>
      <w:spacing w:lineRule="auto" w:line="240"/>
      <w:jc w:val="center"/>
      <w:textAlignment w:val="auto"/>
    </w:pPr>
    <w:rPr>
      <w:sz w:val="20"/>
    </w:rPr>
  </w:style>
  <w:style w:type="paragraph" w:styleId="List">
    <w:name w:val="List"/>
    <w:basedOn w:val="TextBody"/>
    <w:pPr/>
    <w:rPr>
      <w:rFonts w:cs="Droid Sans Devanagari"/>
    </w:rPr>
  </w:style>
  <w:style w:type="paragraph" w:styleId="Caption">
    <w:name w:val="Caption"/>
    <w:basedOn w:val="Normal"/>
    <w:next w:val="NormalText"/>
    <w:qFormat/>
    <w:pPr>
      <w:spacing w:lineRule="auto" w:line="288" w:before="120" w:after="120"/>
      <w:ind w:left="993" w:hanging="993"/>
    </w:pPr>
    <w:rPr>
      <w:b/>
      <w:sz w:val="20"/>
    </w:rPr>
  </w:style>
  <w:style w:type="paragraph" w:styleId="Index">
    <w:name w:val="Index"/>
    <w:basedOn w:val="Normal"/>
    <w:qFormat/>
    <w:pPr>
      <w:suppressLineNumbers/>
    </w:pPr>
    <w:rPr>
      <w:rFonts w:cs="Droid Sans Devanagari"/>
    </w:rPr>
  </w:style>
  <w:style w:type="paragraph" w:styleId="NormalText">
    <w:name w:val="Normal Text"/>
    <w:basedOn w:val="Normal"/>
    <w:qFormat/>
    <w:pPr>
      <w:widowControl w:val="false"/>
      <w:spacing w:lineRule="auto" w:line="240"/>
      <w:ind w:firstLine="680"/>
    </w:pPr>
    <w:rPr/>
  </w:style>
  <w:style w:type="paragraph" w:styleId="AfterFormula1">
    <w:name w:val="After Formula 1"/>
    <w:basedOn w:val="NormalText"/>
    <w:qFormat/>
    <w:pPr>
      <w:tabs>
        <w:tab w:val="clear" w:pos="284"/>
        <w:tab w:val="left" w:pos="1134" w:leader="none"/>
      </w:tabs>
      <w:spacing w:lineRule="auto" w:line="288"/>
      <w:ind w:left="1134" w:hanging="1134"/>
      <w:jc w:val="left"/>
    </w:pPr>
    <w:rPr/>
  </w:style>
  <w:style w:type="paragraph" w:styleId="AfterFormula2">
    <w:name w:val="After Formula 2"/>
    <w:basedOn w:val="NormalText"/>
    <w:next w:val="NormalText"/>
    <w:qFormat/>
    <w:pPr>
      <w:spacing w:lineRule="auto" w:line="288"/>
      <w:ind w:left="1134" w:hanging="0"/>
    </w:pPr>
    <w:rPr/>
  </w:style>
  <w:style w:type="paragraph" w:styleId="AfterTable">
    <w:name w:val="After Table"/>
    <w:basedOn w:val="NormalText"/>
    <w:next w:val="NormalText"/>
    <w:qFormat/>
    <w:pPr>
      <w:spacing w:before="240" w:after="0"/>
    </w:pPr>
    <w:rPr/>
  </w:style>
  <w:style w:type="paragraph" w:styleId="BeforeTable">
    <w:name w:val="Before Table"/>
    <w:basedOn w:val="NormalText"/>
    <w:next w:val="NormalText"/>
    <w:qFormat/>
    <w:pPr>
      <w:spacing w:before="0" w:after="240"/>
    </w:pPr>
    <w:rPr/>
  </w:style>
  <w:style w:type="paragraph" w:styleId="BetweenTable">
    <w:name w:val="Between Table"/>
    <w:basedOn w:val="NormalText"/>
    <w:next w:val="NormalText"/>
    <w:qFormat/>
    <w:pPr>
      <w:spacing w:before="240" w:after="240"/>
    </w:pPr>
    <w:rPr/>
  </w:style>
  <w:style w:type="paragraph" w:styleId="Figura">
    <w:name w:val="Figura"/>
    <w:basedOn w:val="NormalText"/>
    <w:next w:val="NormalText"/>
    <w:qFormat/>
    <w:pPr>
      <w:spacing w:lineRule="auto" w:line="240"/>
      <w:ind w:left="-851" w:right="-851" w:hanging="0"/>
      <w:jc w:val="center"/>
    </w:pPr>
    <w:rPr/>
  </w:style>
  <w:style w:type="paragraph" w:styleId="FiguraText">
    <w:name w:val="Figura Text"/>
    <w:basedOn w:val="NormalText"/>
    <w:next w:val="NormalText"/>
    <w:qFormat/>
    <w:pPr>
      <w:spacing w:lineRule="auto" w:line="288" w:before="160" w:after="240"/>
      <w:ind w:hanging="0"/>
      <w:jc w:val="center"/>
    </w:pPr>
    <w:rPr>
      <w:b/>
      <w:bCs/>
    </w:rPr>
  </w:style>
  <w:style w:type="paragraph" w:styleId="HeaderandFooter">
    <w:name w:val="Header and Footer"/>
    <w:basedOn w:val="Normal"/>
    <w:qFormat/>
    <w:pPr>
      <w:suppressLineNumbers/>
      <w:tabs>
        <w:tab w:val="clear" w:pos="284"/>
        <w:tab w:val="center" w:pos="4986" w:leader="none"/>
        <w:tab w:val="right" w:pos="9972" w:leader="none"/>
      </w:tabs>
    </w:pPr>
    <w:rPr/>
  </w:style>
  <w:style w:type="paragraph" w:styleId="Footer">
    <w:name w:val="Footer"/>
    <w:basedOn w:val="NormalText"/>
    <w:pPr>
      <w:tabs>
        <w:tab w:val="clear" w:pos="284"/>
        <w:tab w:val="center" w:pos="4111" w:leader="none"/>
        <w:tab w:val="right" w:pos="8222" w:leader="none"/>
      </w:tabs>
      <w:spacing w:lineRule="auto" w:line="240"/>
      <w:ind w:hanging="0"/>
    </w:pPr>
    <w:rPr>
      <w:sz w:val="22"/>
    </w:rPr>
  </w:style>
  <w:style w:type="paragraph" w:styleId="Footnote">
    <w:name w:val="Footnote Text"/>
    <w:basedOn w:val="NormalText"/>
    <w:pPr>
      <w:spacing w:lineRule="auto" w:line="240"/>
      <w:ind w:left="140" w:hanging="140"/>
    </w:pPr>
    <w:rPr>
      <w:sz w:val="20"/>
    </w:rPr>
  </w:style>
  <w:style w:type="paragraph" w:styleId="Formula">
    <w:name w:val="Formula"/>
    <w:basedOn w:val="NormalText"/>
    <w:next w:val="NormalText"/>
    <w:qFormat/>
    <w:pPr>
      <w:tabs>
        <w:tab w:val="clear" w:pos="284"/>
        <w:tab w:val="right" w:pos="8220" w:leader="none"/>
      </w:tabs>
      <w:spacing w:before="160" w:after="40"/>
      <w:ind w:left="680" w:hanging="0"/>
      <w:jc w:val="left"/>
    </w:pPr>
    <w:rPr/>
  </w:style>
  <w:style w:type="paragraph" w:styleId="Header">
    <w:name w:val="Header"/>
    <w:basedOn w:val="NormalText"/>
    <w:pPr>
      <w:tabs>
        <w:tab w:val="clear" w:pos="284"/>
        <w:tab w:val="center" w:pos="4111" w:leader="none"/>
        <w:tab w:val="right" w:pos="8222" w:leader="none"/>
      </w:tabs>
      <w:spacing w:lineRule="auto" w:line="240"/>
      <w:ind w:hanging="0"/>
    </w:pPr>
    <w:rPr>
      <w:sz w:val="22"/>
    </w:rPr>
  </w:style>
  <w:style w:type="paragraph" w:styleId="Mini">
    <w:name w:val="Mini"/>
    <w:basedOn w:val="NormalText"/>
    <w:qFormat/>
    <w:pPr>
      <w:spacing w:lineRule="auto" w:line="240" w:before="240" w:after="240"/>
      <w:ind w:left="3686" w:hanging="0"/>
    </w:pPr>
    <w:rPr>
      <w:rFonts w:cs="Arial"/>
      <w:i/>
      <w:sz w:val="22"/>
    </w:rPr>
  </w:style>
  <w:style w:type="paragraph" w:styleId="ListBullet">
    <w:name w:val="List Bullet"/>
    <w:basedOn w:val="NormalText"/>
    <w:qFormat/>
    <w:pPr>
      <w:numPr>
        <w:ilvl w:val="0"/>
        <w:numId w:val="12"/>
      </w:numPr>
    </w:pPr>
    <w:rPr>
      <w:lang w:val="en-US"/>
    </w:rPr>
  </w:style>
  <w:style w:type="paragraph" w:styleId="ListBullet1">
    <w:name w:val="List Bullet 1"/>
    <w:basedOn w:val="NormalText"/>
    <w:qFormat/>
    <w:pPr>
      <w:numPr>
        <w:ilvl w:val="0"/>
        <w:numId w:val="25"/>
      </w:numPr>
      <w:tabs>
        <w:tab w:val="clear" w:pos="284"/>
        <w:tab w:val="left" w:pos="294" w:leader="none"/>
      </w:tabs>
      <w:ind w:left="284" w:hanging="284"/>
    </w:pPr>
    <w:rPr/>
  </w:style>
  <w:style w:type="paragraph" w:styleId="ListBullet2">
    <w:name w:val="List Bullet 2"/>
    <w:basedOn w:val="NormalText"/>
    <w:qFormat/>
    <w:pPr>
      <w:numPr>
        <w:ilvl w:val="0"/>
        <w:numId w:val="29"/>
      </w:numPr>
      <w:tabs>
        <w:tab w:val="clear" w:pos="284"/>
        <w:tab w:val="left" w:pos="680" w:leader="none"/>
      </w:tabs>
      <w:ind w:left="681" w:hanging="284"/>
    </w:pPr>
    <w:rPr/>
  </w:style>
  <w:style w:type="paragraph" w:styleId="ListBullet3">
    <w:name w:val="List Bullet 3"/>
    <w:basedOn w:val="NormalText"/>
    <w:qFormat/>
    <w:pPr>
      <w:numPr>
        <w:ilvl w:val="0"/>
        <w:numId w:val="92"/>
      </w:numPr>
      <w:tabs>
        <w:tab w:val="clear" w:pos="284"/>
        <w:tab w:val="left" w:pos="964" w:leader="none"/>
      </w:tabs>
      <w:ind w:left="964" w:hanging="284"/>
    </w:pPr>
    <w:rPr/>
  </w:style>
  <w:style w:type="paragraph" w:styleId="ListBullet4">
    <w:name w:val="List Bullet 4"/>
    <w:basedOn w:val="NormalText"/>
    <w:qFormat/>
    <w:pPr>
      <w:numPr>
        <w:ilvl w:val="0"/>
        <w:numId w:val="63"/>
      </w:numPr>
      <w:tabs>
        <w:tab w:val="clear" w:pos="284"/>
        <w:tab w:val="left" w:pos="964" w:leader="none"/>
      </w:tabs>
      <w:ind w:left="964" w:hanging="284"/>
    </w:pPr>
    <w:rPr/>
  </w:style>
  <w:style w:type="paragraph" w:styleId="ListBullet5">
    <w:name w:val="List Bullet 5"/>
    <w:basedOn w:val="NormalText"/>
    <w:qFormat/>
    <w:pPr>
      <w:numPr>
        <w:ilvl w:val="0"/>
        <w:numId w:val="4"/>
      </w:numPr>
      <w:tabs>
        <w:tab w:val="clear" w:pos="284"/>
        <w:tab w:val="left" w:pos="966" w:leader="none"/>
      </w:tabs>
      <w:ind w:left="964" w:hanging="284"/>
    </w:pPr>
    <w:rPr/>
  </w:style>
  <w:style w:type="paragraph" w:styleId="ListBullet6">
    <w:name w:val="List Bullet 6"/>
    <w:basedOn w:val="NormalText"/>
    <w:qFormat/>
    <w:pPr>
      <w:numPr>
        <w:ilvl w:val="0"/>
        <w:numId w:val="17"/>
      </w:numPr>
      <w:tabs>
        <w:tab w:val="clear" w:pos="284"/>
        <w:tab w:val="left" w:pos="1247" w:leader="none"/>
      </w:tabs>
      <w:ind w:left="1248" w:hanging="284"/>
    </w:pPr>
    <w:rPr/>
  </w:style>
  <w:style w:type="paragraph" w:styleId="ListBullet7">
    <w:name w:val="List Bullet 7"/>
    <w:basedOn w:val="NormalText"/>
    <w:qFormat/>
    <w:pPr>
      <w:numPr>
        <w:ilvl w:val="0"/>
        <w:numId w:val="36"/>
      </w:numPr>
      <w:ind w:left="1248" w:hanging="284"/>
    </w:pPr>
    <w:rPr/>
  </w:style>
  <w:style w:type="paragraph" w:styleId="ListBullet8">
    <w:name w:val="List Bullet 8"/>
    <w:basedOn w:val="NormalText"/>
    <w:qFormat/>
    <w:pPr>
      <w:numPr>
        <w:ilvl w:val="0"/>
        <w:numId w:val="70"/>
      </w:numPr>
      <w:tabs>
        <w:tab w:val="clear" w:pos="284"/>
        <w:tab w:val="left" w:pos="1246" w:leader="none"/>
      </w:tabs>
      <w:ind w:left="1248" w:hanging="284"/>
    </w:pPr>
    <w:rPr/>
  </w:style>
  <w:style w:type="paragraph" w:styleId="MacroText">
    <w:name w:val="Macro Text"/>
    <w:qFormat/>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overflowPunct w:val="false"/>
      <w:autoSpaceDE w:val="false"/>
      <w:bidi w:val="0"/>
      <w:spacing w:lineRule="auto" w:line="360"/>
      <w:textAlignment w:val="baseline"/>
    </w:pPr>
    <w:rPr>
      <w:rFonts w:ascii="Times New Roman" w:hAnsi="Times New Roman" w:eastAsia="Times New Roman" w:cs="Times New Roman"/>
      <w:color w:val="auto"/>
      <w:sz w:val="20"/>
      <w:szCs w:val="20"/>
      <w:lang w:val="bg-BG" w:bidi="ar-SA" w:eastAsia="zh-CN"/>
    </w:rPr>
  </w:style>
  <w:style w:type="paragraph" w:styleId="Table">
    <w:name w:val="Table"/>
    <w:basedOn w:val="NormalText"/>
    <w:next w:val="NormalText"/>
    <w:qFormat/>
    <w:pPr>
      <w:keepLines/>
      <w:spacing w:lineRule="auto" w:line="240" w:before="100" w:after="100"/>
      <w:ind w:hanging="0"/>
      <w:jc w:val="center"/>
    </w:pPr>
    <w:rPr/>
  </w:style>
  <w:style w:type="paragraph" w:styleId="TableEnd">
    <w:name w:val="Table End"/>
    <w:basedOn w:val="Table"/>
    <w:next w:val="NormalText"/>
    <w:qFormat/>
    <w:pPr/>
    <w:rPr/>
  </w:style>
  <w:style w:type="paragraph" w:styleId="TableHeading1">
    <w:name w:val="Table Heading 1"/>
    <w:basedOn w:val="NormalText"/>
    <w:next w:val="NormalText"/>
    <w:qFormat/>
    <w:pPr>
      <w:keepNext w:val="true"/>
      <w:keepLines/>
      <w:spacing w:lineRule="auto" w:line="288" w:before="240" w:after="240"/>
      <w:ind w:hanging="0"/>
      <w:jc w:val="center"/>
    </w:pPr>
    <w:rPr>
      <w:b/>
      <w:bCs/>
    </w:rPr>
  </w:style>
  <w:style w:type="paragraph" w:styleId="TableHeading2">
    <w:name w:val="Table Heading 2"/>
    <w:basedOn w:val="NormalText"/>
    <w:next w:val="NormalText"/>
    <w:qFormat/>
    <w:pPr>
      <w:keepNext w:val="true"/>
      <w:keepLines/>
      <w:spacing w:lineRule="auto" w:line="288" w:before="240" w:after="240"/>
      <w:ind w:hanging="0"/>
      <w:jc w:val="center"/>
    </w:pPr>
    <w:rPr>
      <w:b/>
    </w:rPr>
  </w:style>
  <w:style w:type="paragraph" w:styleId="Contents1">
    <w:name w:val="TOC 1"/>
    <w:basedOn w:val="Normal"/>
    <w:next w:val="Normal"/>
    <w:pPr>
      <w:tabs>
        <w:tab w:val="clear" w:pos="284"/>
        <w:tab w:val="right" w:pos="8220" w:leader="dot"/>
      </w:tabs>
      <w:spacing w:lineRule="auto" w:line="264" w:before="240" w:after="80"/>
      <w:jc w:val="left"/>
    </w:pPr>
    <w:rPr>
      <w:b/>
      <w:bCs/>
      <w:caps/>
    </w:rPr>
  </w:style>
  <w:style w:type="paragraph" w:styleId="Contents2">
    <w:name w:val="TOC 2"/>
    <w:basedOn w:val="Normal"/>
    <w:next w:val="Normal"/>
    <w:pPr>
      <w:tabs>
        <w:tab w:val="clear" w:pos="284"/>
        <w:tab w:val="right" w:pos="8222" w:leader="dot"/>
      </w:tabs>
      <w:spacing w:lineRule="auto" w:line="264" w:before="40" w:after="0"/>
      <w:ind w:left="284" w:hanging="0"/>
      <w:jc w:val="left"/>
    </w:pPr>
    <w:rPr>
      <w:b/>
      <w:bCs/>
      <w:smallCaps/>
      <w:sz w:val="26"/>
      <w:szCs w:val="24"/>
    </w:rPr>
  </w:style>
  <w:style w:type="paragraph" w:styleId="Contents3">
    <w:name w:val="TOC 3"/>
    <w:basedOn w:val="Normal"/>
    <w:next w:val="Normal"/>
    <w:pPr>
      <w:tabs>
        <w:tab w:val="clear" w:pos="284"/>
        <w:tab w:val="right" w:pos="8222" w:leader="dot"/>
      </w:tabs>
      <w:spacing w:lineRule="auto" w:line="240"/>
      <w:ind w:left="567" w:hanging="0"/>
      <w:jc w:val="left"/>
    </w:pPr>
    <w:rPr>
      <w:b/>
      <w:bCs/>
      <w:sz w:val="26"/>
      <w:szCs w:val="24"/>
    </w:rPr>
  </w:style>
  <w:style w:type="paragraph" w:styleId="Contents4">
    <w:name w:val="TOC 4"/>
    <w:basedOn w:val="Normal"/>
    <w:next w:val="Normal"/>
    <w:pPr>
      <w:tabs>
        <w:tab w:val="clear" w:pos="284"/>
        <w:tab w:val="right" w:pos="8222" w:leader="dot"/>
      </w:tabs>
      <w:spacing w:lineRule="auto" w:line="240"/>
      <w:ind w:left="567" w:hanging="0"/>
      <w:jc w:val="left"/>
    </w:pPr>
    <w:rPr>
      <w:b/>
      <w:bCs/>
      <w:i/>
      <w:iCs/>
      <w:sz w:val="26"/>
      <w:szCs w:val="21"/>
    </w:rPr>
  </w:style>
  <w:style w:type="paragraph" w:styleId="Contents5">
    <w:name w:val="TOC 5"/>
    <w:basedOn w:val="Normal"/>
    <w:next w:val="Normal"/>
    <w:pPr>
      <w:ind w:left="1120" w:hanging="0"/>
      <w:jc w:val="left"/>
    </w:pPr>
    <w:rPr>
      <w:szCs w:val="21"/>
    </w:rPr>
  </w:style>
  <w:style w:type="paragraph" w:styleId="Contents6">
    <w:name w:val="TOC 6"/>
    <w:basedOn w:val="Normal"/>
    <w:next w:val="Normal"/>
    <w:pPr>
      <w:ind w:left="1400" w:hanging="0"/>
      <w:jc w:val="left"/>
    </w:pPr>
    <w:rPr>
      <w:szCs w:val="21"/>
    </w:rPr>
  </w:style>
  <w:style w:type="paragraph" w:styleId="Contents7">
    <w:name w:val="TOC 7"/>
    <w:basedOn w:val="Normal"/>
    <w:next w:val="Normal"/>
    <w:pPr>
      <w:ind w:left="1680" w:hanging="0"/>
      <w:jc w:val="left"/>
    </w:pPr>
    <w:rPr>
      <w:szCs w:val="21"/>
    </w:rPr>
  </w:style>
  <w:style w:type="paragraph" w:styleId="Contents8">
    <w:name w:val="TOC 8"/>
    <w:basedOn w:val="Normal"/>
    <w:next w:val="Normal"/>
    <w:pPr>
      <w:ind w:left="1960" w:hanging="0"/>
      <w:jc w:val="left"/>
    </w:pPr>
    <w:rPr>
      <w:szCs w:val="21"/>
    </w:rPr>
  </w:style>
  <w:style w:type="paragraph" w:styleId="Contents9">
    <w:name w:val="TOC 9"/>
    <w:basedOn w:val="Normal"/>
    <w:next w:val="Normal"/>
    <w:pPr>
      <w:ind w:left="2240" w:hanging="0"/>
      <w:jc w:val="left"/>
    </w:pPr>
    <w:rPr>
      <w:szCs w:val="21"/>
    </w:rPr>
  </w:style>
  <w:style w:type="paragraph" w:styleId="WhiteSpace">
    <w:name w:val="White Space"/>
    <w:basedOn w:val="NormalText"/>
    <w:next w:val="NormalText"/>
    <w:qFormat/>
    <w:pPr>
      <w:spacing w:lineRule="auto" w:line="240" w:before="400" w:after="0"/>
      <w:ind w:hanging="0"/>
      <w:jc w:val="left"/>
    </w:pPr>
    <w:rPr>
      <w:sz w:val="2"/>
    </w:rPr>
  </w:style>
  <w:style w:type="paragraph" w:styleId="Style5">
    <w:name w:val="Дебит"/>
    <w:basedOn w:val="NormalText"/>
    <w:qFormat/>
    <w:pPr>
      <w:tabs>
        <w:tab w:val="clear" w:pos="284"/>
        <w:tab w:val="left" w:pos="1134" w:leader="none"/>
        <w:tab w:val="left" w:pos="2268" w:leader="none"/>
      </w:tabs>
      <w:spacing w:lineRule="auto" w:line="240" w:before="0" w:after="140"/>
      <w:ind w:left="2268" w:hanging="1701"/>
      <w:jc w:val="left"/>
    </w:pPr>
    <w:rPr/>
  </w:style>
  <w:style w:type="paragraph" w:styleId="Style6">
    <w:name w:val="Източник"/>
    <w:basedOn w:val="NormalText"/>
    <w:next w:val="NormalText"/>
    <w:qFormat/>
    <w:pPr>
      <w:spacing w:before="200" w:after="0"/>
      <w:ind w:hanging="0"/>
    </w:pPr>
    <w:rPr>
      <w:sz w:val="22"/>
    </w:rPr>
  </w:style>
  <w:style w:type="paragraph" w:styleId="Style7">
    <w:name w:val="Кредит"/>
    <w:basedOn w:val="NormalText"/>
    <w:qFormat/>
    <w:pPr>
      <w:tabs>
        <w:tab w:val="clear" w:pos="284"/>
        <w:tab w:val="left" w:pos="1418" w:leader="none"/>
        <w:tab w:val="left" w:pos="2552" w:leader="none"/>
      </w:tabs>
      <w:spacing w:lineRule="auto" w:line="240" w:before="0" w:after="140"/>
      <w:ind w:left="2552" w:hanging="1701"/>
      <w:jc w:val="left"/>
    </w:pPr>
    <w:rPr/>
  </w:style>
  <w:style w:type="paragraph" w:styleId="Style8">
    <w:name w:val="Съдържание"/>
    <w:basedOn w:val="Heading1"/>
    <w:next w:val="NormalText"/>
    <w:qFormat/>
    <w:pPr/>
    <w:rPr/>
  </w:style>
  <w:style w:type="paragraph" w:styleId="TextBodyIndent">
    <w:name w:val="Body Text Indent"/>
    <w:basedOn w:val="Normal"/>
    <w:pPr>
      <w:tabs>
        <w:tab w:val="clear" w:pos="284"/>
        <w:tab w:val="left" w:pos="567" w:leader="none"/>
      </w:tabs>
      <w:overflowPunct w:val="true"/>
      <w:autoSpaceDE w:val="true"/>
      <w:spacing w:lineRule="auto" w:line="240"/>
      <w:ind w:firstLine="720"/>
      <w:textAlignment w:val="auto"/>
    </w:pPr>
    <w:rPr>
      <w:sz w:val="24"/>
    </w:rPr>
  </w:style>
  <w:style w:type="paragraph" w:styleId="BodyTextIndent2">
    <w:name w:val="Body Text Indent 2"/>
    <w:basedOn w:val="Normal"/>
    <w:qFormat/>
    <w:pPr>
      <w:overflowPunct w:val="true"/>
      <w:autoSpaceDE w:val="true"/>
      <w:spacing w:lineRule="auto" w:line="240"/>
      <w:ind w:firstLine="405"/>
      <w:jc w:val="center"/>
      <w:textAlignment w:val="auto"/>
    </w:pPr>
    <w:rPr>
      <w:b/>
      <w:sz w:val="24"/>
    </w:rPr>
  </w:style>
  <w:style w:type="paragraph" w:styleId="BodyTextIndent3">
    <w:name w:val="Body Text Indent 3"/>
    <w:basedOn w:val="Normal"/>
    <w:qFormat/>
    <w:pPr>
      <w:overflowPunct w:val="true"/>
      <w:autoSpaceDE w:val="true"/>
      <w:spacing w:lineRule="auto" w:line="240"/>
      <w:ind w:firstLine="360"/>
      <w:textAlignment w:val="auto"/>
    </w:pPr>
    <w:rPr>
      <w:sz w:val="24"/>
    </w:rPr>
  </w:style>
  <w:style w:type="paragraph" w:styleId="BodyText3">
    <w:name w:val="Body Text 3"/>
    <w:basedOn w:val="Normal"/>
    <w:qFormat/>
    <w:pPr>
      <w:overflowPunct w:val="true"/>
      <w:autoSpaceDE w:val="true"/>
      <w:spacing w:lineRule="auto" w:line="240"/>
      <w:jc w:val="left"/>
      <w:textAlignment w:val="auto"/>
    </w:pPr>
    <w:rPr/>
  </w:style>
  <w:style w:type="paragraph" w:styleId="BodyText2">
    <w:name w:val="Body Text 2"/>
    <w:basedOn w:val="Normal"/>
    <w:qFormat/>
    <w:pPr>
      <w:overflowPunct w:val="true"/>
      <w:autoSpaceDE w:val="true"/>
      <w:spacing w:lineRule="auto" w:line="240"/>
      <w:textAlignment w:val="auto"/>
    </w:pPr>
    <w:rPr>
      <w:sz w:val="24"/>
    </w:rPr>
  </w:style>
  <w:style w:type="paragraph" w:styleId="BlockText">
    <w:name w:val="Block Text"/>
    <w:basedOn w:val="Normal"/>
    <w:qFormat/>
    <w:pPr>
      <w:overflowPunct w:val="true"/>
      <w:autoSpaceDE w:val="true"/>
      <w:spacing w:lineRule="auto" w:line="240"/>
      <w:ind w:left="3969" w:right="850" w:hanging="0"/>
      <w:textAlignment w:val="auto"/>
    </w:pPr>
    <w:rPr>
      <w:sz w:val="24"/>
    </w:rPr>
  </w:style>
  <w:style w:type="paragraph" w:styleId="BodyText21">
    <w:name w:val="Body Text 21"/>
    <w:basedOn w:val="Normal"/>
    <w:qFormat/>
    <w:pPr>
      <w:overflowPunct w:val="true"/>
      <w:autoSpaceDE w:val="true"/>
      <w:spacing w:lineRule="auto" w:line="240"/>
      <w:textAlignment w:val="auto"/>
    </w:pPr>
    <w:rPr>
      <w:sz w:val="20"/>
    </w:rPr>
  </w:style>
  <w:style w:type="paragraph" w:styleId="Heading3Heading3Char">
    <w:name w:val="Heading 3.Heading 3 Char"/>
    <w:basedOn w:val="Normal"/>
    <w:next w:val="Normal"/>
    <w:qFormat/>
    <w:pPr>
      <w:keepNext w:val="true"/>
      <w:overflowPunct w:val="true"/>
      <w:spacing w:lineRule="auto" w:line="240" w:before="240" w:after="60"/>
      <w:jc w:val="left"/>
      <w:textAlignment w:val="auto"/>
      <w:outlineLvl w:val="2"/>
    </w:pPr>
    <w:rPr>
      <w:rFonts w:ascii="Arial" w:hAnsi="Arial" w:cs="Arial"/>
      <w:sz w:val="20"/>
      <w:szCs w:val="24"/>
      <w:lang w:val="en-US"/>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paragraph" w:styleId="FrameContents">
    <w:name w:val="Frame Contents"/>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 w:type="numbering" w:styleId="WW8Num46">
    <w:name w:val="WW8Num46"/>
    <w:qFormat/>
  </w:style>
  <w:style w:type="numbering" w:styleId="WW8Num47">
    <w:name w:val="WW8Num47"/>
    <w:qFormat/>
  </w:style>
  <w:style w:type="numbering" w:styleId="WW8Num48">
    <w:name w:val="WW8Num48"/>
    <w:qFormat/>
  </w:style>
  <w:style w:type="numbering" w:styleId="WW8Num49">
    <w:name w:val="WW8Num49"/>
    <w:qFormat/>
  </w:style>
  <w:style w:type="numbering" w:styleId="WW8Num50">
    <w:name w:val="WW8Num50"/>
    <w:qFormat/>
  </w:style>
  <w:style w:type="numbering" w:styleId="WW8Num51">
    <w:name w:val="WW8Num51"/>
    <w:qFormat/>
  </w:style>
  <w:style w:type="numbering" w:styleId="WW8Num52">
    <w:name w:val="WW8Num52"/>
    <w:qFormat/>
  </w:style>
  <w:style w:type="numbering" w:styleId="WW8Num53">
    <w:name w:val="WW8Num53"/>
    <w:qFormat/>
  </w:style>
  <w:style w:type="numbering" w:styleId="WW8Num54">
    <w:name w:val="WW8Num54"/>
    <w:qFormat/>
  </w:style>
  <w:style w:type="numbering" w:styleId="WW8Num55">
    <w:name w:val="WW8Num55"/>
    <w:qFormat/>
  </w:style>
  <w:style w:type="numbering" w:styleId="WW8Num56">
    <w:name w:val="WW8Num56"/>
    <w:qFormat/>
  </w:style>
  <w:style w:type="numbering" w:styleId="WW8Num57">
    <w:name w:val="WW8Num57"/>
    <w:qFormat/>
  </w:style>
  <w:style w:type="numbering" w:styleId="WW8Num58">
    <w:name w:val="WW8Num58"/>
    <w:qFormat/>
  </w:style>
  <w:style w:type="numbering" w:styleId="WW8Num59">
    <w:name w:val="WW8Num59"/>
    <w:qFormat/>
  </w:style>
  <w:style w:type="numbering" w:styleId="WW8Num60">
    <w:name w:val="WW8Num60"/>
    <w:qFormat/>
  </w:style>
  <w:style w:type="numbering" w:styleId="WW8Num61">
    <w:name w:val="WW8Num61"/>
    <w:qFormat/>
  </w:style>
  <w:style w:type="numbering" w:styleId="WW8Num62">
    <w:name w:val="WW8Num62"/>
    <w:qFormat/>
  </w:style>
  <w:style w:type="numbering" w:styleId="WW8Num63">
    <w:name w:val="WW8Num63"/>
    <w:qFormat/>
  </w:style>
  <w:style w:type="numbering" w:styleId="WW8Num64">
    <w:name w:val="WW8Num64"/>
    <w:qFormat/>
  </w:style>
  <w:style w:type="numbering" w:styleId="WW8Num65">
    <w:name w:val="WW8Num65"/>
    <w:qFormat/>
  </w:style>
  <w:style w:type="numbering" w:styleId="WW8Num66">
    <w:name w:val="WW8Num66"/>
    <w:qFormat/>
  </w:style>
  <w:style w:type="numbering" w:styleId="WW8Num67">
    <w:name w:val="WW8Num67"/>
    <w:qFormat/>
  </w:style>
  <w:style w:type="numbering" w:styleId="WW8Num68">
    <w:name w:val="WW8Num68"/>
    <w:qFormat/>
  </w:style>
  <w:style w:type="numbering" w:styleId="WW8Num69">
    <w:name w:val="WW8Num69"/>
    <w:qFormat/>
  </w:style>
  <w:style w:type="numbering" w:styleId="WW8Num70">
    <w:name w:val="WW8Num70"/>
    <w:qFormat/>
  </w:style>
  <w:style w:type="numbering" w:styleId="WW8Num71">
    <w:name w:val="WW8Num71"/>
    <w:qFormat/>
  </w:style>
  <w:style w:type="numbering" w:styleId="WW8Num72">
    <w:name w:val="WW8Num72"/>
    <w:qFormat/>
  </w:style>
  <w:style w:type="numbering" w:styleId="WW8Num73">
    <w:name w:val="WW8Num73"/>
    <w:qFormat/>
  </w:style>
  <w:style w:type="numbering" w:styleId="WW8Num74">
    <w:name w:val="WW8Num74"/>
    <w:qFormat/>
  </w:style>
  <w:style w:type="numbering" w:styleId="WW8Num75">
    <w:name w:val="WW8Num75"/>
    <w:qFormat/>
  </w:style>
  <w:style w:type="numbering" w:styleId="WW8Num76">
    <w:name w:val="WW8Num76"/>
    <w:qFormat/>
  </w:style>
  <w:style w:type="numbering" w:styleId="WW8Num77">
    <w:name w:val="WW8Num77"/>
    <w:qFormat/>
  </w:style>
  <w:style w:type="numbering" w:styleId="WW8Num78">
    <w:name w:val="WW8Num78"/>
    <w:qFormat/>
  </w:style>
  <w:style w:type="numbering" w:styleId="WW8Num79">
    <w:name w:val="WW8Num79"/>
    <w:qFormat/>
  </w:style>
  <w:style w:type="numbering" w:styleId="WW8Num80">
    <w:name w:val="WW8Num80"/>
    <w:qFormat/>
  </w:style>
  <w:style w:type="numbering" w:styleId="WW8Num81">
    <w:name w:val="WW8Num81"/>
    <w:qFormat/>
  </w:style>
  <w:style w:type="numbering" w:styleId="WW8Num82">
    <w:name w:val="WW8Num82"/>
    <w:qFormat/>
  </w:style>
  <w:style w:type="numbering" w:styleId="WW8Num83">
    <w:name w:val="WW8Num83"/>
    <w:qFormat/>
  </w:style>
  <w:style w:type="numbering" w:styleId="WW8Num84">
    <w:name w:val="WW8Num84"/>
    <w:qFormat/>
  </w:style>
  <w:style w:type="numbering" w:styleId="WW8Num85">
    <w:name w:val="WW8Num85"/>
    <w:qFormat/>
  </w:style>
  <w:style w:type="numbering" w:styleId="WW8Num86">
    <w:name w:val="WW8Num86"/>
    <w:qFormat/>
  </w:style>
  <w:style w:type="numbering" w:styleId="WW8Num87">
    <w:name w:val="WW8Num87"/>
    <w:qFormat/>
  </w:style>
  <w:style w:type="numbering" w:styleId="WW8Num88">
    <w:name w:val="WW8Num88"/>
    <w:qFormat/>
  </w:style>
  <w:style w:type="numbering" w:styleId="WW8Num89">
    <w:name w:val="WW8Num89"/>
    <w:qFormat/>
  </w:style>
  <w:style w:type="numbering" w:styleId="WW8Num90">
    <w:name w:val="WW8Num90"/>
    <w:qFormat/>
  </w:style>
  <w:style w:type="numbering" w:styleId="WW8Num91">
    <w:name w:val="WW8Num9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footer" Target="footer6.xml"/><Relationship Id="rId8" Type="http://schemas.openxmlformats.org/officeDocument/2006/relationships/package" Target="embeddings/oleObject1.xlsx"/><Relationship Id="rId9" Type="http://schemas.openxmlformats.org/officeDocument/2006/relationships/image" Target="media/image7.wmf"/><Relationship Id="rId10" Type="http://schemas.openxmlformats.org/officeDocument/2006/relationships/footer" Target="footer7.xml"/><Relationship Id="rId11" Type="http://schemas.openxmlformats.org/officeDocument/2006/relationships/footer" Target="footer8.xml"/><Relationship Id="rId12" Type="http://schemas.openxmlformats.org/officeDocument/2006/relationships/image" Target="media/image8.wmf"/><Relationship Id="rId13" Type="http://schemas.openxmlformats.org/officeDocument/2006/relationships/image" Target="media/image9.wmf"/><Relationship Id="rId14" Type="http://schemas.openxmlformats.org/officeDocument/2006/relationships/image" Target="media/image10.emf"/><Relationship Id="rId15" Type="http://schemas.openxmlformats.org/officeDocument/2006/relationships/image" Target="media/image11.emf"/><Relationship Id="rId16" Type="http://schemas.openxmlformats.org/officeDocument/2006/relationships/image" Target="media/image12.emf"/><Relationship Id="rId17" Type="http://schemas.openxmlformats.org/officeDocument/2006/relationships/image" Target="media/image13.emf"/><Relationship Id="rId18" Type="http://schemas.openxmlformats.org/officeDocument/2006/relationships/image" Target="media/image14.emf"/><Relationship Id="rId19" Type="http://schemas.openxmlformats.org/officeDocument/2006/relationships/footer" Target="footer9.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2091</TotalTime>
  <Application>LibreOffice/6.4.4.2$Linux_X86_64 LibreOffice_project/40$Build-2</Application>
  <Pages>280</Pages>
  <Words>90601</Words>
  <Characters>543236</Characters>
  <CharactersWithSpaces>634431</CharactersWithSpaces>
  <Paragraphs>1708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2005-03-30T11:33:00Z</dcterms:created>
  <dc:creator>lupo</dc:creator>
  <dc:description/>
  <cp:keywords/>
  <dc:language>en-US</dc:language>
  <cp:lastModifiedBy>Rosi</cp:lastModifiedBy>
  <cp:lastPrinted>2005-08-12T14:54:00Z</cp:lastPrinted>
  <dcterms:modified xsi:type="dcterms:W3CDTF">2011-03-04T19:33:00Z</dcterms:modified>
  <cp:revision>266</cp:revision>
  <dc:subject/>
  <dc:title/>
</cp:coreProperties>
</file>